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pPr>
      <w:r>
        <w:rPr>
          <w:rFonts w:ascii="Arial" w:cs="Arial" w:eastAsia="Arial" w:hAnsi="Arial"/>
          <w:b/>
          <w:bCs/>
          <w:color w:val="6B6B6B"/>
          <w:spacing w:val="20"/>
          <w:sz w:val="16"/>
          <w:szCs w:val="16"/>
        </w:rPr>
        <w:t xml:space="preserve">ROYAL BIRKDALE GOLF CLUB  ·  2026 OPEN CHAMPIONSHIP</w:t>
      </w:r>
    </w:p>
    <w:p>
      <w:pPr>
        <w:spacing w:after="160"/>
      </w:pPr>
      <w:r>
        <w:rPr>
          <w:rFonts w:ascii="Georgia" w:cs="Georgia" w:eastAsia="Georgia" w:hAnsi="Georgia"/>
          <w:b/>
          <w:bCs/>
          <w:color w:val="111111"/>
          <w:sz w:val="44"/>
          <w:szCs w:val="44"/>
        </w:rPr>
        <w:t xml:space="preserve">2026 Open Championship: Statistical Favorites at Royal Birkdale</w:t>
      </w:r>
    </w:p>
    <w:p>
      <w:pPr>
        <w:spacing w:after="100"/>
      </w:pPr>
      <w:r>
        <w:rPr>
          <w:rFonts w:ascii="Arial" w:cs="Arial" w:eastAsia="Arial" w:hAnsi="Arial"/>
          <w:color w:val="3D3D3D"/>
          <w:sz w:val="21"/>
          <w:szCs w:val="21"/>
        </w:rPr>
        <w:t xml:space="preserve">A statistical model predicting the winner of the 2026 Open Championship, built with SQL, Data Golf strokes-gained data, and Royal Birkdale course-history analysis</w:t>
      </w:r>
    </w:p>
    <w:p>
      <w:pPr>
        <w:pBdr>
          <w:bottom w:val="single" w:color="222222" w:sz="6"/>
        </w:pBdr>
        <w:spacing w:after="260"/>
      </w:pPr>
      <w:r>
        <w:rPr>
          <w:rFonts w:ascii="Arial" w:cs="Arial" w:eastAsia="Arial" w:hAnsi="Arial"/>
          <w:color w:val="6B6B6B"/>
          <w:sz w:val="19"/>
          <w:szCs w:val="19"/>
        </w:rPr>
        <w:t xml:space="preserve">By Seymour Thomas  ·  USC Marshall School of Business  ·  July 2026</w:t>
      </w:r>
    </w:p>
    <w:p>
      <w:pPr>
        <w:pBdr>
          <w:bottom w:val="single" w:color="E5E5E5" w:sz="4"/>
        </w:pBdr>
        <w:spacing w:after="180" w:before="320"/>
      </w:pPr>
      <w:r>
        <w:rPr>
          <w:rFonts w:ascii="Georgia" w:cs="Georgia" w:eastAsia="Georgia" w:hAnsi="Georgia"/>
          <w:b/>
          <w:bCs/>
          <w:color w:val="111111"/>
          <w:sz w:val="28"/>
          <w:szCs w:val="28"/>
        </w:rPr>
        <w:t xml:space="preserve">I. Executive Summary</w:t>
      </w:r>
    </w:p>
    <w:p>
      <w:pPr>
        <w:spacing w:after="200"/>
      </w:pPr>
      <w:r>
        <w:rPr>
          <w:rFonts w:ascii="Arial" w:cs="Arial" w:eastAsia="Arial" w:hAnsi="Arial"/>
          <w:i w:val="false"/>
          <w:iCs w:val="false"/>
          <w:color w:val="3D3D3D"/>
          <w:sz w:val="20"/>
          <w:szCs w:val="20"/>
        </w:rPr>
        <w:t xml:space="preserve">The Open Championship returns to Royal Birkdale Golf Club July 16–19, 2026, for the first time since 2017. This analysis uses a custom-built SQLite relational database — populated with Data Golf skill rankings, 2026 season Strokes Gained data across the PGA Tour, DP World Tour, and LIV Golf, and actual Royal Birkdale results from the 2008 and 2017 Opens — to answer one question: who is statistically most likely to win?</w:t>
      </w:r>
    </w:p>
    <w:p>
      <w:pPr>
        <w:spacing w:after="200"/>
      </w:pPr>
      <w:r>
        <w:rPr>
          <w:rFonts w:ascii="Arial" w:cs="Arial" w:eastAsia="Arial" w:hAnsi="Arial"/>
          <w:i w:val="false"/>
          <w:iCs w:val="false"/>
          <w:color w:val="3D3D3D"/>
          <w:sz w:val="20"/>
          <w:szCs w:val="20"/>
        </w:rPr>
        <w:t xml:space="preserve">The model combines three factors into a single composite score: a player’s skill rank (Data Golf’s own predictive rating), their current-season form (Strokes Gained: Total, Bayesian-shrunk to correct for small sample sizes), and a Royal Birkdale course-history bonus built from real finishing positions the last two times The Open visited this course.</w:t>
      </w:r>
    </w:p>
    <w:p>
      <w:pPr>
        <w:spacing w:after="200"/>
      </w:pPr>
      <w:r>
        <w:rPr>
          <w:rFonts w:ascii="Arial" w:cs="Arial" w:eastAsia="Arial" w:hAnsi="Arial"/>
          <w:i w:val="false"/>
          <w:iCs w:val="false"/>
          <w:color w:val="3D3D3D"/>
          <w:sz w:val="20"/>
          <w:szCs w:val="20"/>
        </w:rPr>
        <w:t xml:space="preserve">The core finding is that only one player in the 156-man field checks all three boxes — elite skill rank, red-hot current form over a full season, and a proven result at Royal Birkdale. That player is Rory McIlroy. Behind him, Jon Rahm and Tyrrell Hatton round out the top three on current form alone, and one course-history specialist — Alex Noren — stands out as a longshot worth watching.</w:t>
      </w:r>
    </w:p>
    <w:p>
      <w:pPr>
        <w:pBdr>
          <w:bottom w:val="single" w:color="E5E5E5" w:sz="4"/>
        </w:pBdr>
        <w:spacing w:after="180" w:before="320"/>
      </w:pPr>
      <w:r>
        <w:rPr>
          <w:rFonts w:ascii="Georgia" w:cs="Georgia" w:eastAsia="Georgia" w:hAnsi="Georgia"/>
          <w:b/>
          <w:bCs/>
          <w:color w:val="111111"/>
          <w:sz w:val="28"/>
          <w:szCs w:val="28"/>
        </w:rPr>
        <w:t xml:space="preserve">II. Royal Birkdale: What the Course Actually Rewards</w:t>
      </w:r>
    </w:p>
    <w:p>
      <w:pPr>
        <w:spacing w:after="200"/>
      </w:pPr>
      <w:r>
        <w:rPr>
          <w:rFonts w:ascii="Arial" w:cs="Arial" w:eastAsia="Arial" w:hAnsi="Arial"/>
          <w:i w:val="false"/>
          <w:iCs w:val="false"/>
          <w:color w:val="3D3D3D"/>
          <w:sz w:val="20"/>
          <w:szCs w:val="20"/>
        </w:rPr>
        <w:t xml:space="preserve">Pulled from Data Golf’s Course Insights for the two most recent Opens held at Royal Birkdale — nine seasons apart, but telling a consistent story.</w:t>
      </w:r>
    </w:p>
    <w:p>
      <w:pPr>
        <w:spacing w:after="120"/>
      </w:pP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3400"/>
        <w:gridCol w:w="2975"/>
        <w:gridCol w:w="2975"/>
      </w:tblGrid>
      <w:tr>
        <w:trPr>
          <w:tblHeader/>
        </w:trPr>
        <w:tc>
          <w:tcPr>
            <w:tcW w:type="dxa" w:w="3400"/>
            <w:shd w:fill="0F1F3D" w:val="clear"/>
            <w:tcMar>
              <w:top w:type="dxa" w:w="90"/>
              <w:left w:type="dxa" w:w="130"/>
              <w:bottom w:type="dxa" w:w="90"/>
              <w:right w:type="dxa" w:w="130"/>
            </w:tcMar>
            <w:vAlign w:val="center"/>
          </w:tcPr>
          <w:p>
            <w:r>
              <w:rPr>
                <w:rFonts w:ascii="Arial" w:cs="Arial" w:eastAsia="Arial" w:hAnsi="Arial"/>
                <w:b/>
                <w:bCs/>
                <w:color w:val="E8B84B"/>
                <w:sz w:val="17"/>
                <w:szCs w:val="17"/>
              </w:rPr>
              <w:t xml:space="preserve">Metric</w:t>
            </w:r>
          </w:p>
        </w:tc>
        <w:tc>
          <w:tcPr>
            <w:tcW w:type="dxa" w:w="2975"/>
            <w:shd w:fill="0F1F3D" w:val="clear"/>
            <w:tcMar>
              <w:top w:type="dxa" w:w="90"/>
              <w:left w:type="dxa" w:w="130"/>
              <w:bottom w:type="dxa" w:w="90"/>
              <w:right w:type="dxa" w:w="130"/>
            </w:tcMar>
            <w:vAlign w:val="center"/>
          </w:tcPr>
          <w:p>
            <w:r>
              <w:rPr>
                <w:rFonts w:ascii="Arial" w:cs="Arial" w:eastAsia="Arial" w:hAnsi="Arial"/>
                <w:b/>
                <w:bCs/>
                <w:color w:val="E8B84B"/>
                <w:sz w:val="17"/>
                <w:szCs w:val="17"/>
              </w:rPr>
              <w:t xml:space="preserve">2008</w:t>
            </w:r>
          </w:p>
        </w:tc>
        <w:tc>
          <w:tcPr>
            <w:tcW w:type="dxa" w:w="2975"/>
            <w:shd w:fill="0F1F3D" w:val="clear"/>
            <w:tcMar>
              <w:top w:type="dxa" w:w="90"/>
              <w:left w:type="dxa" w:w="130"/>
              <w:bottom w:type="dxa" w:w="90"/>
              <w:right w:type="dxa" w:w="130"/>
            </w:tcMar>
            <w:vAlign w:val="center"/>
          </w:tcPr>
          <w:p>
            <w:r>
              <w:rPr>
                <w:rFonts w:ascii="Arial" w:cs="Arial" w:eastAsia="Arial" w:hAnsi="Arial"/>
                <w:b/>
                <w:bCs/>
                <w:color w:val="E8B84B"/>
                <w:sz w:val="17"/>
                <w:szCs w:val="17"/>
              </w:rPr>
              <w:t xml:space="preserve">2017</w:t>
            </w:r>
          </w:p>
        </w:tc>
      </w:tr>
      <w:tr>
        <w:tc>
          <w:tcPr>
            <w:tcW w:type="dxa" w:w="3400"/>
            <w:tcBorders>
              <w:top w:val="none" w:color="FFFFFF" w:sz="0"/>
              <w:left w:val="none" w:color="FFFFFF" w:sz="0"/>
              <w:bottom w:val="single" w:color="EEEEEE" w:sz="2"/>
              <w:right w:val="none" w:color="FFFFFF" w:sz="0"/>
            </w:tcBorders>
            <w:shd w:fill="E3E7F7" w:val="clear"/>
            <w:tcMar>
              <w:top w:type="dxa" w:w="80"/>
              <w:left w:type="dxa" w:w="130"/>
              <w:bottom w:type="dxa" w:w="80"/>
              <w:right w:type="dxa" w:w="130"/>
            </w:tcMar>
            <w:vAlign w:val="center"/>
          </w:tcPr>
          <w:p>
            <w:r>
              <w:rPr>
                <w:rFonts w:ascii="Arial" w:cs="Arial" w:eastAsia="Arial" w:hAnsi="Arial"/>
                <w:b/>
                <w:bCs/>
                <w:color w:val="1A1A1A"/>
                <w:sz w:val="18"/>
                <w:szCs w:val="18"/>
              </w:rPr>
              <w:t xml:space="preserve">Scoring average</w:t>
            </w:r>
          </w:p>
        </w:tc>
        <w:tc>
          <w:tcPr>
            <w:tcW w:type="dxa" w:w="2975"/>
            <w:tcBorders>
              <w:top w:val="none" w:color="FFFFFF" w:sz="0"/>
              <w:left w:val="none" w:color="FFFFFF" w:sz="0"/>
              <w:bottom w:val="single" w:color="EEEEEE" w:sz="2"/>
              <w:right w:val="none" w:color="FFFFFF" w:sz="0"/>
            </w:tcBorders>
            <w:shd w:fill="E3E7F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74.89 (+4.89)</w:t>
            </w:r>
          </w:p>
        </w:tc>
        <w:tc>
          <w:tcPr>
            <w:tcW w:type="dxa" w:w="2975"/>
            <w:tcBorders>
              <w:top w:val="none" w:color="FFFFFF" w:sz="0"/>
              <w:left w:val="none" w:color="FFFFFF" w:sz="0"/>
              <w:bottom w:val="single" w:color="EEEEEE" w:sz="2"/>
              <w:right w:val="none" w:color="FFFFFF" w:sz="0"/>
            </w:tcBorders>
            <w:shd w:fill="E3E7F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71.28 (+1.28)</w:t>
            </w:r>
          </w:p>
        </w:tc>
      </w:tr>
      <w:tr>
        <w:tc>
          <w:tcPr>
            <w:tcW w:type="dxa" w:w="34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bCs/>
                <w:color w:val="1A1A1A"/>
                <w:sz w:val="18"/>
                <w:szCs w:val="18"/>
              </w:rPr>
              <w:t xml:space="preserve">Score std. deviation</w:t>
            </w:r>
          </w:p>
        </w:tc>
        <w:tc>
          <w:tcPr>
            <w:tcW w:type="dxa" w:w="2975"/>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3.18 (high variance)</w:t>
            </w:r>
          </w:p>
        </w:tc>
        <w:tc>
          <w:tcPr>
            <w:tcW w:type="dxa" w:w="2975"/>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2.90 (typical PGA Tour variance)</w:t>
            </w:r>
          </w:p>
        </w:tc>
      </w:tr>
      <w:tr>
        <w:tc>
          <w:tcPr>
            <w:tcW w:type="dxa" w:w="3400"/>
            <w:tcBorders>
              <w:top w:val="none" w:color="FFFFFF" w:sz="0"/>
              <w:left w:val="none" w:color="FFFFFF" w:sz="0"/>
              <w:bottom w:val="single" w:color="EEEEEE" w:sz="2"/>
              <w:right w:val="none" w:color="FFFFFF" w:sz="0"/>
            </w:tcBorders>
            <w:shd w:fill="FBF0C7" w:val="clear"/>
            <w:tcMar>
              <w:top w:type="dxa" w:w="80"/>
              <w:left w:type="dxa" w:w="130"/>
              <w:bottom w:type="dxa" w:w="80"/>
              <w:right w:type="dxa" w:w="130"/>
            </w:tcMar>
            <w:vAlign w:val="center"/>
          </w:tcPr>
          <w:p>
            <w:r>
              <w:rPr>
                <w:rFonts w:ascii="Arial" w:cs="Arial" w:eastAsia="Arial" w:hAnsi="Arial"/>
                <w:b/>
                <w:bCs/>
                <w:color w:val="1A1A1A"/>
                <w:sz w:val="18"/>
                <w:szCs w:val="18"/>
              </w:rPr>
              <w:t xml:space="preserve">Skill separation (slope vs. 1.0 = normal tour)</w:t>
            </w:r>
          </w:p>
        </w:tc>
        <w:tc>
          <w:tcPr>
            <w:tcW w:type="dxa" w:w="2975"/>
            <w:tcBorders>
              <w:top w:val="none" w:color="FFFFFF" w:sz="0"/>
              <w:left w:val="none" w:color="FFFFFF" w:sz="0"/>
              <w:bottom w:val="single" w:color="EEEEEE" w:sz="2"/>
              <w:right w:val="none" w:color="FFFFFF" w:sz="0"/>
            </w:tcBorders>
            <w:shd w:fill="FBF0C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0.60</w:t>
            </w:r>
          </w:p>
        </w:tc>
        <w:tc>
          <w:tcPr>
            <w:tcW w:type="dxa" w:w="2975"/>
            <w:tcBorders>
              <w:top w:val="none" w:color="FFFFFF" w:sz="0"/>
              <w:left w:val="none" w:color="FFFFFF" w:sz="0"/>
              <w:bottom w:val="single" w:color="EEEEEE" w:sz="2"/>
              <w:right w:val="none" w:color="FFFFFF" w:sz="0"/>
            </w:tcBorders>
            <w:shd w:fill="FBF0C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0.72</w:t>
            </w:r>
          </w:p>
        </w:tc>
      </w:tr>
      <w:tr>
        <w:tc>
          <w:tcPr>
            <w:tcW w:type="dxa" w:w="34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bCs/>
                <w:color w:val="1A1A1A"/>
                <w:sz w:val="18"/>
                <w:szCs w:val="18"/>
              </w:rPr>
              <w:t xml:space="preserve">Player type favoured</w:t>
            </w:r>
          </w:p>
        </w:tc>
        <w:tc>
          <w:tcPr>
            <w:tcW w:type="dxa" w:w="2975"/>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Strongly favoured accurate drivers</w:t>
            </w:r>
          </w:p>
        </w:tc>
        <w:tc>
          <w:tcPr>
            <w:tcW w:type="dxa" w:w="2975"/>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Favoured accurate drivers</w:t>
            </w:r>
          </w:p>
        </w:tc>
      </w:tr>
    </w:tbl>
    <w:p>
      <w:pPr>
        <w:spacing w:after="160"/>
      </w:pPr>
    </w:p>
    <w:p>
      <w:pPr>
        <w:spacing w:after="200"/>
      </w:pPr>
      <w:r>
        <w:rPr>
          <w:rFonts w:ascii="Arial" w:cs="Arial" w:eastAsia="Arial" w:hAnsi="Arial"/>
          <w:b/>
          <w:bCs/>
          <w:color w:val="111111"/>
          <w:sz w:val="20"/>
          <w:szCs w:val="20"/>
        </w:rPr>
        <w:t xml:space="preserve">Key finding:</w:t>
      </w:r>
      <w:r>
        <w:rPr>
          <w:rFonts w:ascii="Arial" w:cs="Arial" w:eastAsia="Arial" w:hAnsi="Arial"/>
          <w:i w:val="false"/>
          <w:iCs w:val="false"/>
          <w:color w:val="3D3D3D"/>
          <w:sz w:val="20"/>
          <w:szCs w:val="20"/>
        </w:rPr>
        <w:t xml:space="preserve"> Royal Birkdale rewards accuracy off the tee over raw distance, and skill separates less than usual here (slope 0.60–0.72 vs. 1.0) — meaning the best players in the world beat the field by less than they would elsewhere. This doesn’t override the skill/form model — it tempers it. A pure bomber with no Birkdale pedigree should be discounted slightly; a proven accurate ball-striker with course history should get a bump.</w:t>
      </w:r>
    </w:p>
    <w:p>
      <w:pPr>
        <w:pBdr>
          <w:bottom w:val="single" w:color="E5E5E5" w:sz="4"/>
        </w:pBdr>
        <w:spacing w:after="180" w:before="320"/>
      </w:pPr>
      <w:r>
        <w:rPr>
          <w:rFonts w:ascii="Georgia" w:cs="Georgia" w:eastAsia="Georgia" w:hAnsi="Georgia"/>
          <w:b/>
          <w:bCs/>
          <w:color w:val="111111"/>
          <w:sz w:val="28"/>
          <w:szCs w:val="28"/>
        </w:rPr>
        <w:t xml:space="preserve">III. Adding Course History to the Model</w:t>
      </w:r>
    </w:p>
    <w:p>
      <w:pPr>
        <w:spacing w:after="200"/>
      </w:pPr>
      <w:r>
        <w:rPr>
          <w:rFonts w:ascii="Arial" w:cs="Arial" w:eastAsia="Arial" w:hAnsi="Arial"/>
          <w:i w:val="false"/>
          <w:iCs w:val="false"/>
          <w:color w:val="3D3D3D"/>
          <w:sz w:val="20"/>
          <w:szCs w:val="20"/>
        </w:rPr>
        <w:t xml:space="preserve">Cross-referencing the 2008 and 2017 Open leaderboards against the current 156-player field turned up 10 players still competing who have real Royal Birkdale results on record.</w:t>
      </w:r>
    </w:p>
    <w:p>
      <w:pPr>
        <w:spacing w:after="120"/>
      </w:pP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3500"/>
        <w:gridCol w:w="3600"/>
        <w:gridCol w:w="2250"/>
      </w:tblGrid>
      <w:tr>
        <w:trPr>
          <w:tblHeader/>
        </w:trPr>
        <w:tc>
          <w:tcPr>
            <w:tcW w:type="dxa" w:w="3500"/>
            <w:shd w:fill="0F1F3D" w:val="clear"/>
            <w:tcMar>
              <w:top w:type="dxa" w:w="90"/>
              <w:left w:type="dxa" w:w="130"/>
              <w:bottom w:type="dxa" w:w="90"/>
              <w:right w:type="dxa" w:w="130"/>
            </w:tcMar>
            <w:vAlign w:val="center"/>
          </w:tcPr>
          <w:p>
            <w:r>
              <w:rPr>
                <w:rFonts w:ascii="Arial" w:cs="Arial" w:eastAsia="Arial" w:hAnsi="Arial"/>
                <w:b/>
                <w:bCs/>
                <w:color w:val="E8B84B"/>
                <w:sz w:val="17"/>
                <w:szCs w:val="17"/>
              </w:rPr>
              <w:t xml:space="preserve">Player</w:t>
            </w:r>
          </w:p>
        </w:tc>
        <w:tc>
          <w:tcPr>
            <w:tcW w:type="dxa" w:w="3600"/>
            <w:shd w:fill="0F1F3D" w:val="clear"/>
            <w:tcMar>
              <w:top w:type="dxa" w:w="90"/>
              <w:left w:type="dxa" w:w="130"/>
              <w:bottom w:type="dxa" w:w="90"/>
              <w:right w:type="dxa" w:w="130"/>
            </w:tcMar>
            <w:vAlign w:val="center"/>
          </w:tcPr>
          <w:p>
            <w:r>
              <w:rPr>
                <w:rFonts w:ascii="Arial" w:cs="Arial" w:eastAsia="Arial" w:hAnsi="Arial"/>
                <w:b/>
                <w:bCs/>
                <w:color w:val="E8B84B"/>
                <w:sz w:val="17"/>
                <w:szCs w:val="17"/>
              </w:rPr>
              <w:t xml:space="preserve">Best Birkdale Finish</w:t>
            </w:r>
          </w:p>
        </w:tc>
        <w:tc>
          <w:tcPr>
            <w:tcW w:type="dxa" w:w="2250"/>
            <w:shd w:fill="0F1F3D" w:val="clear"/>
            <w:tcMar>
              <w:top w:type="dxa" w:w="90"/>
              <w:left w:type="dxa" w:w="130"/>
              <w:bottom w:type="dxa" w:w="90"/>
              <w:right w:type="dxa" w:w="130"/>
            </w:tcMar>
            <w:vAlign w:val="center"/>
          </w:tcPr>
          <w:p>
            <w:r>
              <w:rPr>
                <w:rFonts w:ascii="Arial" w:cs="Arial" w:eastAsia="Arial" w:hAnsi="Arial"/>
                <w:b/>
                <w:bCs/>
                <w:color w:val="E8B84B"/>
                <w:sz w:val="17"/>
                <w:szCs w:val="17"/>
              </w:rPr>
              <w:t xml:space="preserve">Years</w:t>
            </w:r>
          </w:p>
        </w:tc>
      </w:tr>
      <w:tr>
        <w:tc>
          <w:tcPr>
            <w:tcW w:type="dxa" w:w="3500"/>
            <w:tcBorders>
              <w:top w:val="none" w:color="FFFFFF" w:sz="0"/>
              <w:left w:val="none" w:color="FFFFFF" w:sz="0"/>
              <w:bottom w:val="single" w:color="EEEEEE" w:sz="2"/>
              <w:right w:val="none" w:color="FFFFFF" w:sz="0"/>
            </w:tcBorders>
            <w:shd w:fill="FBF0C7" w:val="clear"/>
            <w:tcMar>
              <w:top w:type="dxa" w:w="80"/>
              <w:left w:type="dxa" w:w="130"/>
              <w:bottom w:type="dxa" w:w="80"/>
              <w:right w:type="dxa" w:w="130"/>
            </w:tcMar>
            <w:vAlign w:val="center"/>
          </w:tcPr>
          <w:p>
            <w:r>
              <w:rPr>
                <w:rFonts w:ascii="Arial" w:cs="Arial" w:eastAsia="Arial" w:hAnsi="Arial"/>
                <w:b/>
                <w:bCs/>
                <w:color w:val="1A1A1A"/>
                <w:sz w:val="18"/>
                <w:szCs w:val="18"/>
              </w:rPr>
              <w:t xml:space="preserve">Padraig Harrington</w:t>
            </w:r>
          </w:p>
        </w:tc>
        <w:tc>
          <w:tcPr>
            <w:tcW w:type="dxa" w:w="3600"/>
            <w:tcBorders>
              <w:top w:val="none" w:color="FFFFFF" w:sz="0"/>
              <w:left w:val="none" w:color="FFFFFF" w:sz="0"/>
              <w:bottom w:val="single" w:color="EEEEEE" w:sz="2"/>
              <w:right w:val="none" w:color="FFFFFF" w:sz="0"/>
            </w:tcBorders>
            <w:shd w:fill="FBF0C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Winner, 2008</w:t>
            </w:r>
          </w:p>
        </w:tc>
        <w:tc>
          <w:tcPr>
            <w:tcW w:type="dxa" w:w="2250"/>
            <w:tcBorders>
              <w:top w:val="none" w:color="FFFFFF" w:sz="0"/>
              <w:left w:val="none" w:color="FFFFFF" w:sz="0"/>
              <w:bottom w:val="single" w:color="EEEEEE" w:sz="2"/>
              <w:right w:val="none" w:color="FFFFFF" w:sz="0"/>
            </w:tcBorders>
            <w:shd w:fill="FBF0C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2008</w:t>
            </w:r>
          </w:p>
        </w:tc>
      </w:tr>
      <w:tr>
        <w:tc>
          <w:tcPr>
            <w:tcW w:type="dxa" w:w="35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bCs/>
                <w:color w:val="1A1A1A"/>
                <w:sz w:val="18"/>
                <w:szCs w:val="18"/>
              </w:rPr>
              <w:t xml:space="preserve">Henrik Stenson</w:t>
            </w:r>
          </w:p>
        </w:tc>
        <w:tc>
          <w:tcPr>
            <w:tcW w:type="dxa" w:w="36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T3 (2008), T11 (2017)</w:t>
            </w:r>
          </w:p>
        </w:tc>
        <w:tc>
          <w:tcPr>
            <w:tcW w:type="dxa" w:w="225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2008, 2017</w:t>
            </w:r>
          </w:p>
        </w:tc>
      </w:tr>
      <w:tr>
        <w:tc>
          <w:tcPr>
            <w:tcW w:type="dxa" w:w="35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bCs/>
                <w:color w:val="1A1A1A"/>
                <w:sz w:val="18"/>
                <w:szCs w:val="18"/>
              </w:rPr>
              <w:t xml:space="preserve">Alex Noren</w:t>
            </w:r>
          </w:p>
        </w:tc>
        <w:tc>
          <w:tcPr>
            <w:tcW w:type="dxa" w:w="36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T6 (2017), T19 (2008)</w:t>
            </w:r>
          </w:p>
        </w:tc>
        <w:tc>
          <w:tcPr>
            <w:tcW w:type="dxa" w:w="225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2008, 2017</w:t>
            </w:r>
          </w:p>
        </w:tc>
      </w:tr>
      <w:tr>
        <w:tc>
          <w:tcPr>
            <w:tcW w:type="dxa" w:w="3500"/>
            <w:tcBorders>
              <w:top w:val="none" w:color="FFFFFF" w:sz="0"/>
              <w:left w:val="none" w:color="FFFFFF" w:sz="0"/>
              <w:bottom w:val="single" w:color="EEEEEE" w:sz="2"/>
              <w:right w:val="none" w:color="FFFFFF" w:sz="0"/>
            </w:tcBorders>
            <w:shd w:fill="E3E7F7" w:val="clear"/>
            <w:tcMar>
              <w:top w:type="dxa" w:w="80"/>
              <w:left w:type="dxa" w:w="130"/>
              <w:bottom w:type="dxa" w:w="80"/>
              <w:right w:type="dxa" w:w="130"/>
            </w:tcMar>
            <w:vAlign w:val="center"/>
          </w:tcPr>
          <w:p>
            <w:r>
              <w:rPr>
                <w:rFonts w:ascii="Arial" w:cs="Arial" w:eastAsia="Arial" w:hAnsi="Arial"/>
                <w:b/>
                <w:bCs/>
                <w:color w:val="1A1A1A"/>
                <w:sz w:val="18"/>
                <w:szCs w:val="18"/>
              </w:rPr>
              <w:t xml:space="preserve">Rory McIlroy</w:t>
            </w:r>
          </w:p>
        </w:tc>
        <w:tc>
          <w:tcPr>
            <w:tcW w:type="dxa" w:w="3600"/>
            <w:tcBorders>
              <w:top w:val="none" w:color="FFFFFF" w:sz="0"/>
              <w:left w:val="none" w:color="FFFFFF" w:sz="0"/>
              <w:bottom w:val="single" w:color="EEEEEE" w:sz="2"/>
              <w:right w:val="none" w:color="FFFFFF" w:sz="0"/>
            </w:tcBorders>
            <w:shd w:fill="E3E7F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T4 (2017)</w:t>
            </w:r>
          </w:p>
        </w:tc>
        <w:tc>
          <w:tcPr>
            <w:tcW w:type="dxa" w:w="2250"/>
            <w:tcBorders>
              <w:top w:val="none" w:color="FFFFFF" w:sz="0"/>
              <w:left w:val="none" w:color="FFFFFF" w:sz="0"/>
              <w:bottom w:val="single" w:color="EEEEEE" w:sz="2"/>
              <w:right w:val="none" w:color="FFFFFF" w:sz="0"/>
            </w:tcBorders>
            <w:shd w:fill="E3E7F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2017</w:t>
            </w:r>
          </w:p>
        </w:tc>
      </w:tr>
      <w:tr>
        <w:tc>
          <w:tcPr>
            <w:tcW w:type="dxa" w:w="3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bCs/>
                <w:color w:val="1A1A1A"/>
                <w:sz w:val="18"/>
                <w:szCs w:val="18"/>
              </w:rPr>
              <w:t xml:space="preserve">Brooks Koepka</w:t>
            </w:r>
          </w:p>
        </w:tc>
        <w:tc>
          <w:tcPr>
            <w:tcW w:type="dxa" w:w="36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T6 (2017)</w:t>
            </w:r>
          </w:p>
        </w:tc>
        <w:tc>
          <w:tcPr>
            <w:tcW w:type="dxa" w:w="225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2017</w:t>
            </w:r>
          </w:p>
        </w:tc>
      </w:tr>
      <w:tr>
        <w:tc>
          <w:tcPr>
            <w:tcW w:type="dxa" w:w="3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bCs/>
                <w:color w:val="1A1A1A"/>
                <w:sz w:val="18"/>
                <w:szCs w:val="18"/>
              </w:rPr>
              <w:t xml:space="preserve">Matthew Southgate</w:t>
            </w:r>
          </w:p>
        </w:tc>
        <w:tc>
          <w:tcPr>
            <w:tcW w:type="dxa" w:w="36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T6 (2017)</w:t>
            </w:r>
          </w:p>
        </w:tc>
        <w:tc>
          <w:tcPr>
            <w:tcW w:type="dxa" w:w="225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2017</w:t>
            </w:r>
          </w:p>
        </w:tc>
      </w:tr>
      <w:tr>
        <w:tc>
          <w:tcPr>
            <w:tcW w:type="dxa" w:w="3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bCs/>
                <w:color w:val="1A1A1A"/>
                <w:sz w:val="18"/>
                <w:szCs w:val="18"/>
              </w:rPr>
              <w:t xml:space="preserve">Hideki Matsuyama</w:t>
            </w:r>
          </w:p>
        </w:tc>
        <w:tc>
          <w:tcPr>
            <w:tcW w:type="dxa" w:w="36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T14 (2017)</w:t>
            </w:r>
          </w:p>
        </w:tc>
        <w:tc>
          <w:tcPr>
            <w:tcW w:type="dxa" w:w="225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2017</w:t>
            </w:r>
          </w:p>
        </w:tc>
      </w:tr>
      <w:tr>
        <w:tc>
          <w:tcPr>
            <w:tcW w:type="dxa" w:w="3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bCs/>
                <w:color w:val="1A1A1A"/>
                <w:sz w:val="18"/>
                <w:szCs w:val="18"/>
              </w:rPr>
              <w:t xml:space="preserve">Xander Schauffele</w:t>
            </w:r>
          </w:p>
        </w:tc>
        <w:tc>
          <w:tcPr>
            <w:tcW w:type="dxa" w:w="36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T20 (2017)</w:t>
            </w:r>
          </w:p>
        </w:tc>
        <w:tc>
          <w:tcPr>
            <w:tcW w:type="dxa" w:w="225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2017</w:t>
            </w:r>
          </w:p>
        </w:tc>
      </w:tr>
      <w:tr>
        <w:tc>
          <w:tcPr>
            <w:tcW w:type="dxa" w:w="3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bCs/>
                <w:color w:val="1A1A1A"/>
                <w:sz w:val="18"/>
                <w:szCs w:val="18"/>
              </w:rPr>
              <w:t xml:space="preserve">Adam Scott</w:t>
            </w:r>
          </w:p>
        </w:tc>
        <w:tc>
          <w:tcPr>
            <w:tcW w:type="dxa" w:w="36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T16 (2008), T22 (2017)</w:t>
            </w:r>
          </w:p>
        </w:tc>
        <w:tc>
          <w:tcPr>
            <w:tcW w:type="dxa" w:w="225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2008, 2017</w:t>
            </w:r>
          </w:p>
        </w:tc>
      </w:tr>
      <w:tr>
        <w:tc>
          <w:tcPr>
            <w:tcW w:type="dxa" w:w="3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bCs/>
                <w:color w:val="1A1A1A"/>
                <w:sz w:val="18"/>
                <w:szCs w:val="18"/>
              </w:rPr>
              <w:t xml:space="preserve">Rickie Fowler</w:t>
            </w:r>
          </w:p>
        </w:tc>
        <w:tc>
          <w:tcPr>
            <w:tcW w:type="dxa" w:w="36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T22 (2017)</w:t>
            </w:r>
          </w:p>
        </w:tc>
        <w:tc>
          <w:tcPr>
            <w:tcW w:type="dxa" w:w="225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2017</w:t>
            </w:r>
          </w:p>
        </w:tc>
      </w:tr>
    </w:tbl>
    <w:p>
      <w:pPr>
        <w:spacing w:after="200"/>
      </w:pPr>
    </w:p>
    <w:p>
      <w:pPr>
        <w:pBdr>
          <w:bottom w:val="single" w:color="E5E5E5" w:sz="4"/>
        </w:pBdr>
        <w:spacing w:after="180" w:before="320"/>
      </w:pPr>
      <w:r>
        <w:rPr>
          <w:rFonts w:ascii="Georgia" w:cs="Georgia" w:eastAsia="Georgia" w:hAnsi="Georgia"/>
          <w:b/>
          <w:bCs/>
          <w:color w:val="111111"/>
          <w:sz w:val="28"/>
          <w:szCs w:val="28"/>
        </w:rPr>
        <w:t xml:space="preserve">IV. The Model</w:t>
      </w:r>
    </w:p>
    <w:p>
      <w:pPr>
        <w:spacing w:after="200"/>
      </w:pPr>
      <w:r>
        <w:rPr>
          <w:rFonts w:ascii="Arial" w:cs="Arial" w:eastAsia="Arial" w:hAnsi="Arial"/>
          <w:i w:val="false"/>
          <w:iCs w:val="false"/>
          <w:color w:val="3D3D3D"/>
          <w:sz w:val="20"/>
          <w:szCs w:val="20"/>
        </w:rPr>
        <w:t xml:space="preserve">Data was loaded into SQLite across five tables: the 156-player Open field (with each player’s Data Golf rank, OWGR, and tour rank), three Strokes Gained leaderboards (PGA Tour, DP World Tour, LIV Golf), and the Royal Birkdale course-history table above. Players were matched across tables by surname, with first-initial disambiguation for common names (Fitzpatrick, Kim, Hojgaard, Smith, Scott, Noren).</w:t>
      </w:r>
    </w:p>
    <w:p>
      <w:pPr>
        <w:spacing w:after="200"/>
      </w:pPr>
      <w:r>
        <w:rPr>
          <w:rFonts w:ascii="Arial" w:cs="Arial" w:eastAsia="Arial" w:hAnsi="Arial"/>
          <w:i w:val="false"/>
          <w:iCs w:val="false"/>
          <w:color w:val="3D3D3D"/>
          <w:sz w:val="20"/>
          <w:szCs w:val="20"/>
        </w:rPr>
        <w:t xml:space="preserve">For each player, three factors were computed: a skill score derived from dg_rank (Data Golf’s own predictive rank, which already blends long-term skill with recent form), a form score — current-season Strokes Gained: Total, normalized per round — and a course-history score, points awarded for Royal Birkdale finish (Win = 10, top-3 = 8, top-6 = 6, top-15 = 2–4, top-25 = 1) summed across 2008 and 2017. Because a hot stretch over just 18 rounds is far noisier than one over 60+, Bayesian shrinkage was applied to the Strokes Gained figures so a short hot streak can’t outrank a full season of proven form.</w:t>
      </w:r>
    </w:p>
    <w:p>
      <w:pPr>
        <w:spacing w:after="80"/>
      </w:pP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9350"/>
      </w:tblGrid>
      <w:tr>
        <w:tc>
          <w:tcPr>
            <w:tcW w:type="dxa" w:w="9350"/>
            <w:shd w:fill="1E1E24" w:val="clear"/>
            <w:tcMar>
              <w:top w:type="dxa" w:w="160"/>
              <w:left w:type="dxa" w:w="180"/>
              <w:bottom w:type="dxa" w:w="160"/>
              <w:right w:type="dxa" w:w="180"/>
            </w:tcMar>
          </w:tcPr>
          <w:p>
            <w:pPr>
              <w:spacing w:after="0"/>
            </w:pPr>
            <w:r>
              <w:rPr>
                <w:rFonts w:ascii="Courier New" w:cs="Courier New" w:eastAsia="Courier New" w:hAnsi="Courier New"/>
                <w:color w:val="DCEFD9"/>
                <w:sz w:val="16"/>
                <w:szCs w:val="16"/>
              </w:rPr>
              <w:t xml:space="preserve">-- simplified core of the ranking query</w:t>
            </w:r>
          </w:p>
          <w:p>
            <w:pPr>
              <w:spacing w:after="0"/>
            </w:pPr>
            <w:r>
              <w:rPr>
                <w:rFonts w:ascii="Courier New" w:cs="Courier New" w:eastAsia="Courier New" w:hAnsi="Courier New"/>
                <w:color w:val="DCEFD9"/>
                <w:sz w:val="16"/>
                <w:szCs w:val="16"/>
              </w:rPr>
              <w:t xml:space="preserve">SELECT f.player_name, f.dg_rank, f.owgr_rank,</w:t>
            </w:r>
          </w:p>
          <w:p>
            <w:pPr>
              <w:spacing w:after="0"/>
            </w:pPr>
            <w:r>
              <w:rPr>
                <w:rFonts w:ascii="Courier New" w:cs="Courier New" w:eastAsia="Courier New" w:hAnsi="Courier New"/>
                <w:color w:val="DCEFD9"/>
                <w:sz w:val="16"/>
                <w:szCs w:val="16"/>
              </w:rPr>
              <w:t xml:space="preserve">       COALESCE(p.total/p.rnds, d.total/d.rnds, l.total/l.rnds) AS sg_per_round</w:t>
            </w:r>
          </w:p>
          <w:p>
            <w:pPr>
              <w:spacing w:after="0"/>
            </w:pPr>
            <w:r>
              <w:rPr>
                <w:rFonts w:ascii="Courier New" w:cs="Courier New" w:eastAsia="Courier New" w:hAnsi="Courier New"/>
                <w:color w:val="DCEFD9"/>
                <w:sz w:val="16"/>
                <w:szCs w:val="16"/>
              </w:rPr>
              <w:t xml:space="preserve">FROM field f</w:t>
            </w:r>
          </w:p>
          <w:p>
            <w:pPr>
              <w:spacing w:after="0"/>
            </w:pPr>
            <w:r>
              <w:rPr>
                <w:rFonts w:ascii="Courier New" w:cs="Courier New" w:eastAsia="Courier New" w:hAnsi="Courier New"/>
                <w:color w:val="DCEFD9"/>
                <w:sz w:val="16"/>
                <w:szCs w:val="16"/>
              </w:rPr>
              <w:t xml:space="preserve">LEFT JOIN pga_stats  p ON f.last_name = p.surname</w:t>
            </w:r>
          </w:p>
          <w:p>
            <w:pPr>
              <w:spacing w:after="0"/>
            </w:pPr>
            <w:r>
              <w:rPr>
                <w:rFonts w:ascii="Courier New" w:cs="Courier New" w:eastAsia="Courier New" w:hAnsi="Courier New"/>
                <w:color w:val="DCEFD9"/>
                <w:sz w:val="16"/>
                <w:szCs w:val="16"/>
              </w:rPr>
              <w:t xml:space="preserve">LEFT JOIN dpwt_stats d ON f.last_name = d.surname</w:t>
            </w:r>
          </w:p>
          <w:p>
            <w:pPr>
              <w:spacing w:after="0"/>
            </w:pPr>
            <w:r>
              <w:rPr>
                <w:rFonts w:ascii="Courier New" w:cs="Courier New" w:eastAsia="Courier New" w:hAnsi="Courier New"/>
                <w:color w:val="DCEFD9"/>
                <w:sz w:val="16"/>
                <w:szCs w:val="16"/>
              </w:rPr>
              <w:t xml:space="preserve">LEFT JOIN liv_stats  l ON f.last_name = l.surname</w:t>
            </w:r>
          </w:p>
          <w:p>
            <w:pPr>
              <w:spacing w:after="0"/>
            </w:pPr>
            <w:r>
              <w:rPr>
                <w:rFonts w:ascii="Courier New" w:cs="Courier New" w:eastAsia="Courier New" w:hAnsi="Courier New"/>
                <w:color w:val="DCEFD9"/>
                <w:sz w:val="16"/>
                <w:szCs w:val="16"/>
              </w:rPr>
              <w:t xml:space="preserve">ORDER BY composite_score DESC;</w:t>
            </w:r>
          </w:p>
        </w:tc>
      </w:tr>
    </w:tbl>
    <w:p>
      <w:pPr>
        <w:spacing w:after="200"/>
      </w:pPr>
    </w:p>
    <w:p>
      <w:pPr>
        <w:spacing w:after="200"/>
      </w:pPr>
      <w:r>
        <w:rPr>
          <w:rFonts w:ascii="Arial" w:cs="Arial" w:eastAsia="Arial" w:hAnsi="Arial"/>
          <w:b/>
          <w:bCs/>
          <w:color w:val="111111"/>
          <w:sz w:val="20"/>
          <w:szCs w:val="20"/>
        </w:rPr>
        <w:t xml:space="preserve">Final composite:</w:t>
      </w:r>
      <w:r>
        <w:rPr>
          <w:rFonts w:ascii="Arial" w:cs="Arial" w:eastAsia="Arial" w:hAnsi="Arial"/>
          <w:i w:val="false"/>
          <w:iCs w:val="false"/>
          <w:color w:val="3D3D3D"/>
          <w:sz w:val="20"/>
          <w:szCs w:val="20"/>
        </w:rPr>
        <w:t xml:space="preserve"> 70% skill rank + 30% shrunk current-season form, blended 88/12 with the Royal Birkdale course-history score. The 12% weight is deliberately modest — two tournaments is a small history sample, so it acts as a tiebreaker/booster rather than a dominant factor.</w:t>
      </w:r>
    </w:p>
    <w:p>
      <w:pPr>
        <w:pBdr>
          <w:bottom w:val="single" w:color="E5E5E5" w:sz="4"/>
        </w:pBdr>
        <w:spacing w:after="180" w:before="320"/>
      </w:pPr>
      <w:r>
        <w:rPr>
          <w:rFonts w:ascii="Georgia" w:cs="Georgia" w:eastAsia="Georgia" w:hAnsi="Georgia"/>
          <w:b/>
          <w:bCs/>
          <w:color w:val="111111"/>
          <w:sz w:val="28"/>
          <w:szCs w:val="28"/>
        </w:rPr>
        <w:t xml:space="preserve">V. Top 15 Contenders (Course-History Adjusted)</w:t>
      </w:r>
    </w:p>
    <w:p>
      <w:pPr>
        <w:spacing w:after="200"/>
      </w:pPr>
      <w:r>
        <w:rPr>
          <w:rFonts w:ascii="Arial" w:cs="Arial" w:eastAsia="Arial" w:hAnsi="Arial"/>
          <w:i w:val="false"/>
          <w:iCs w:val="false"/>
          <w:color w:val="3D3D3D"/>
          <w:sz w:val="20"/>
          <w:szCs w:val="20"/>
        </w:rPr>
        <w:t xml:space="preserve">The direct output of the composite-score ranking query, expanded with additional PGA Tour and DP World Tour stat coverage.</w:t>
      </w:r>
    </w:p>
    <w:p>
      <w:pPr>
        <w:spacing w:after="120"/>
      </w:pP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500"/>
        <w:gridCol w:w="2400"/>
        <w:gridCol w:w="750"/>
        <w:gridCol w:w="1500"/>
        <w:gridCol w:w="1500"/>
        <w:gridCol w:w="2700"/>
      </w:tblGrid>
      <w:tr>
        <w:trPr>
          <w:tblHeader/>
        </w:trPr>
        <w:tc>
          <w:tcPr>
            <w:tcW w:type="dxa" w:w="500"/>
            <w:shd w:fill="0F1F3D" w:val="clear"/>
            <w:tcMar>
              <w:top w:type="dxa" w:w="90"/>
              <w:left w:type="dxa" w:w="130"/>
              <w:bottom w:type="dxa" w:w="90"/>
              <w:right w:type="dxa" w:w="130"/>
            </w:tcMar>
            <w:vAlign w:val="center"/>
          </w:tcPr>
          <w:p>
            <w:r>
              <w:rPr>
                <w:rFonts w:ascii="Arial" w:cs="Arial" w:eastAsia="Arial" w:hAnsi="Arial"/>
                <w:b/>
                <w:bCs/>
                <w:color w:val="E8B84B"/>
                <w:sz w:val="17"/>
                <w:szCs w:val="17"/>
              </w:rPr>
              <w:t xml:space="preserve">Rk</w:t>
            </w:r>
          </w:p>
        </w:tc>
        <w:tc>
          <w:tcPr>
            <w:tcW w:type="dxa" w:w="2400"/>
            <w:shd w:fill="0F1F3D" w:val="clear"/>
            <w:tcMar>
              <w:top w:type="dxa" w:w="90"/>
              <w:left w:type="dxa" w:w="130"/>
              <w:bottom w:type="dxa" w:w="90"/>
              <w:right w:type="dxa" w:w="130"/>
            </w:tcMar>
            <w:vAlign w:val="center"/>
          </w:tcPr>
          <w:p>
            <w:r>
              <w:rPr>
                <w:rFonts w:ascii="Arial" w:cs="Arial" w:eastAsia="Arial" w:hAnsi="Arial"/>
                <w:b/>
                <w:bCs/>
                <w:color w:val="E8B84B"/>
                <w:sz w:val="17"/>
                <w:szCs w:val="17"/>
              </w:rPr>
              <w:t xml:space="preserve">Player</w:t>
            </w:r>
          </w:p>
        </w:tc>
        <w:tc>
          <w:tcPr>
            <w:tcW w:type="dxa" w:w="750"/>
            <w:shd w:fill="0F1F3D" w:val="clear"/>
            <w:tcMar>
              <w:top w:type="dxa" w:w="90"/>
              <w:left w:type="dxa" w:w="130"/>
              <w:bottom w:type="dxa" w:w="90"/>
              <w:right w:type="dxa" w:w="130"/>
            </w:tcMar>
            <w:vAlign w:val="center"/>
          </w:tcPr>
          <w:p>
            <w:r>
              <w:rPr>
                <w:rFonts w:ascii="Arial" w:cs="Arial" w:eastAsia="Arial" w:hAnsi="Arial"/>
                <w:b/>
                <w:bCs/>
                <w:color w:val="E8B84B"/>
                <w:sz w:val="17"/>
                <w:szCs w:val="17"/>
              </w:rPr>
              <w:t xml:space="preserve">DG Rk</w:t>
            </w:r>
          </w:p>
        </w:tc>
        <w:tc>
          <w:tcPr>
            <w:tcW w:type="dxa" w:w="1500"/>
            <w:shd w:fill="0F1F3D" w:val="clear"/>
            <w:tcMar>
              <w:top w:type="dxa" w:w="90"/>
              <w:left w:type="dxa" w:w="130"/>
              <w:bottom w:type="dxa" w:w="90"/>
              <w:right w:type="dxa" w:w="130"/>
            </w:tcMar>
            <w:vAlign w:val="center"/>
          </w:tcPr>
          <w:p>
            <w:r>
              <w:rPr>
                <w:rFonts w:ascii="Arial" w:cs="Arial" w:eastAsia="Arial" w:hAnsi="Arial"/>
                <w:b/>
                <w:bCs/>
                <w:color w:val="E8B84B"/>
                <w:sz w:val="17"/>
                <w:szCs w:val="17"/>
              </w:rPr>
              <w:t xml:space="preserve">Tour (SG/rd)</w:t>
            </w:r>
          </w:p>
        </w:tc>
        <w:tc>
          <w:tcPr>
            <w:tcW w:type="dxa" w:w="1500"/>
            <w:shd w:fill="0F1F3D" w:val="clear"/>
            <w:tcMar>
              <w:top w:type="dxa" w:w="90"/>
              <w:left w:type="dxa" w:w="130"/>
              <w:bottom w:type="dxa" w:w="90"/>
              <w:right w:type="dxa" w:w="130"/>
            </w:tcMar>
            <w:vAlign w:val="center"/>
          </w:tcPr>
          <w:p>
            <w:r>
              <w:rPr>
                <w:rFonts w:ascii="Arial" w:cs="Arial" w:eastAsia="Arial" w:hAnsi="Arial"/>
                <w:b/>
                <w:bCs/>
                <w:color w:val="E8B84B"/>
                <w:sz w:val="17"/>
                <w:szCs w:val="17"/>
              </w:rPr>
              <w:t xml:space="preserve">Birkdale Hist.</w:t>
            </w:r>
          </w:p>
        </w:tc>
        <w:tc>
          <w:tcPr>
            <w:tcW w:type="dxa" w:w="2700"/>
            <w:shd w:fill="0F1F3D" w:val="clear"/>
            <w:tcMar>
              <w:top w:type="dxa" w:w="90"/>
              <w:left w:type="dxa" w:w="130"/>
              <w:bottom w:type="dxa" w:w="90"/>
              <w:right w:type="dxa" w:w="130"/>
            </w:tcMar>
            <w:vAlign w:val="center"/>
          </w:tcPr>
          <w:p>
            <w:r>
              <w:rPr>
                <w:rFonts w:ascii="Arial" w:cs="Arial" w:eastAsia="Arial" w:hAnsi="Arial"/>
                <w:b/>
                <w:bCs/>
                <w:color w:val="E8B84B"/>
                <w:sz w:val="17"/>
                <w:szCs w:val="17"/>
              </w:rPr>
              <w:t xml:space="preserve">Note</w:t>
            </w:r>
          </w:p>
        </w:tc>
      </w:tr>
      <w:tr>
        <w:tc>
          <w:tcPr>
            <w:tcW w:type="dxa" w:w="500"/>
            <w:tcBorders>
              <w:top w:val="none" w:color="FFFFFF" w:sz="0"/>
              <w:left w:val="none" w:color="FFFFFF" w:sz="0"/>
              <w:bottom w:val="single" w:color="EEEEEE" w:sz="2"/>
              <w:right w:val="none" w:color="FFFFFF" w:sz="0"/>
            </w:tcBorders>
            <w:shd w:fill="FBF0C7" w:val="clear"/>
            <w:tcMar>
              <w:top w:type="dxa" w:w="80"/>
              <w:left w:type="dxa" w:w="130"/>
              <w:bottom w:type="dxa" w:w="80"/>
              <w:right w:type="dxa" w:w="130"/>
            </w:tcMar>
            <w:vAlign w:val="center"/>
          </w:tcPr>
          <w:p>
            <w:r>
              <w:rPr>
                <w:rFonts w:ascii="Arial" w:cs="Arial" w:eastAsia="Arial" w:hAnsi="Arial"/>
                <w:b/>
                <w:bCs/>
                <w:color w:val="1A1A1A"/>
                <w:sz w:val="18"/>
                <w:szCs w:val="18"/>
              </w:rPr>
              <w:t xml:space="preserve">1</w:t>
            </w:r>
          </w:p>
        </w:tc>
        <w:tc>
          <w:tcPr>
            <w:tcW w:type="dxa" w:w="2400"/>
            <w:tcBorders>
              <w:top w:val="none" w:color="FFFFFF" w:sz="0"/>
              <w:left w:val="none" w:color="FFFFFF" w:sz="0"/>
              <w:bottom w:val="single" w:color="EEEEEE" w:sz="2"/>
              <w:right w:val="none" w:color="FFFFFF" w:sz="0"/>
            </w:tcBorders>
            <w:shd w:fill="FBF0C7" w:val="clear"/>
            <w:tcMar>
              <w:top w:type="dxa" w:w="80"/>
              <w:left w:type="dxa" w:w="130"/>
              <w:bottom w:type="dxa" w:w="80"/>
              <w:right w:type="dxa" w:w="130"/>
            </w:tcMar>
            <w:vAlign w:val="center"/>
          </w:tcPr>
          <w:p>
            <w:r>
              <w:rPr>
                <w:rFonts w:ascii="Arial" w:cs="Arial" w:eastAsia="Arial" w:hAnsi="Arial"/>
                <w:b/>
                <w:bCs/>
                <w:color w:val="1A1A1A"/>
                <w:sz w:val="18"/>
                <w:szCs w:val="18"/>
              </w:rPr>
              <w:t xml:space="preserve">Rory McIlroy</w:t>
            </w:r>
          </w:p>
        </w:tc>
        <w:tc>
          <w:tcPr>
            <w:tcW w:type="dxa" w:w="750"/>
            <w:tcBorders>
              <w:top w:val="none" w:color="FFFFFF" w:sz="0"/>
              <w:left w:val="none" w:color="FFFFFF" w:sz="0"/>
              <w:bottom w:val="single" w:color="EEEEEE" w:sz="2"/>
              <w:right w:val="none" w:color="FFFFFF" w:sz="0"/>
            </w:tcBorders>
            <w:shd w:fill="FBF0C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w:t>
            </w:r>
          </w:p>
        </w:tc>
        <w:tc>
          <w:tcPr>
            <w:tcW w:type="dxa" w:w="1500"/>
            <w:tcBorders>
              <w:top w:val="none" w:color="FFFFFF" w:sz="0"/>
              <w:left w:val="none" w:color="FFFFFF" w:sz="0"/>
              <w:bottom w:val="single" w:color="EEEEEE" w:sz="2"/>
              <w:right w:val="none" w:color="FFFFFF" w:sz="0"/>
            </w:tcBorders>
            <w:shd w:fill="FBF0C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PGA (+0.067)</w:t>
            </w:r>
          </w:p>
        </w:tc>
        <w:tc>
          <w:tcPr>
            <w:tcW w:type="dxa" w:w="1500"/>
            <w:tcBorders>
              <w:top w:val="none" w:color="FFFFFF" w:sz="0"/>
              <w:left w:val="none" w:color="FFFFFF" w:sz="0"/>
              <w:bottom w:val="single" w:color="EEEEEE" w:sz="2"/>
              <w:right w:val="none" w:color="FFFFFF" w:sz="0"/>
            </w:tcBorders>
            <w:shd w:fill="FBF0C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T4, 2017</w:t>
            </w:r>
          </w:p>
        </w:tc>
        <w:tc>
          <w:tcPr>
            <w:tcW w:type="dxa" w:w="2700"/>
            <w:tcBorders>
              <w:top w:val="none" w:color="FFFFFF" w:sz="0"/>
              <w:left w:val="none" w:color="FFFFFF" w:sz="0"/>
              <w:bottom w:val="single" w:color="EEEEEE" w:sz="2"/>
              <w:right w:val="none" w:color="FFFFFF" w:sz="0"/>
            </w:tcBorders>
            <w:shd w:fill="FBF0C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Elite skill + hottest form + real Birkdale pedigree</w:t>
            </w:r>
          </w:p>
        </w:tc>
      </w:tr>
      <w:tr>
        <w:tc>
          <w:tcPr>
            <w:tcW w:type="dxa" w:w="5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bCs/>
                <w:color w:val="1A1A1A"/>
                <w:sz w:val="18"/>
                <w:szCs w:val="18"/>
              </w:rPr>
              <w:t xml:space="preserve">2</w:t>
            </w:r>
          </w:p>
        </w:tc>
        <w:tc>
          <w:tcPr>
            <w:tcW w:type="dxa" w:w="24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Jon Rahm</w:t>
            </w:r>
          </w:p>
        </w:tc>
        <w:tc>
          <w:tcPr>
            <w:tcW w:type="dxa" w:w="75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5</w:t>
            </w:r>
          </w:p>
        </w:tc>
        <w:tc>
          <w:tcPr>
            <w:tcW w:type="dxa" w:w="15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LIV (+0.067)</w:t>
            </w:r>
          </w:p>
        </w:tc>
        <w:tc>
          <w:tcPr>
            <w:tcW w:type="dxa" w:w="15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none</w:t>
            </w:r>
          </w:p>
        </w:tc>
        <w:tc>
          <w:tcPr>
            <w:tcW w:type="dxa" w:w="27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Matches McIlroy’s SG/rd over a full 36-round season</w:t>
            </w:r>
          </w:p>
        </w:tc>
      </w:tr>
      <w:tr>
        <w:tc>
          <w:tcPr>
            <w:tcW w:type="dxa" w:w="5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bCs/>
                <w:color w:val="1A1A1A"/>
                <w:sz w:val="18"/>
                <w:szCs w:val="18"/>
              </w:rPr>
              <w:t xml:space="preserve">3</w:t>
            </w:r>
          </w:p>
        </w:tc>
        <w:tc>
          <w:tcPr>
            <w:tcW w:type="dxa" w:w="24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Tyrrell Hatton</w:t>
            </w:r>
          </w:p>
        </w:tc>
        <w:tc>
          <w:tcPr>
            <w:tcW w:type="dxa" w:w="75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23</w:t>
            </w:r>
          </w:p>
        </w:tc>
        <w:tc>
          <w:tcPr>
            <w:tcW w:type="dxa" w:w="15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DPWT (+0.104)</w:t>
            </w:r>
          </w:p>
        </w:tc>
        <w:tc>
          <w:tcPr>
            <w:tcW w:type="dxa" w:w="15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none</w:t>
            </w:r>
          </w:p>
        </w:tc>
        <w:tc>
          <w:tcPr>
            <w:tcW w:type="dxa" w:w="2700"/>
            <w:tcBorders>
              <w:top w:val="none" w:color="FFFFFF" w:sz="0"/>
              <w:left w:val="none" w:color="FFFFFF" w:sz="0"/>
              <w:bottom w:val="single" w:color="EEEEEE" w:sz="2"/>
              <w:right w:val="none" w:color="FFFFFF" w:sz="0"/>
            </w:tcBorders>
            <w:shd w:fill="DCEFD9"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Highest raw SG/rd — only 18 rounds of data</w:t>
            </w:r>
          </w:p>
        </w:tc>
      </w:tr>
      <w:tr>
        <w:tc>
          <w:tcPr>
            <w:tcW w:type="dxa" w:w="500"/>
            <w:tcBorders>
              <w:top w:val="none" w:color="FFFFFF" w:sz="0"/>
              <w:left w:val="none" w:color="FFFFFF" w:sz="0"/>
              <w:bottom w:val="single" w:color="EEEEEE" w:sz="2"/>
              <w:right w:val="none" w:color="FFFFFF" w:sz="0"/>
            </w:tcBorders>
            <w:shd w:fill="FBD9DD" w:val="clear"/>
            <w:tcMar>
              <w:top w:type="dxa" w:w="80"/>
              <w:left w:type="dxa" w:w="130"/>
              <w:bottom w:type="dxa" w:w="80"/>
              <w:right w:type="dxa" w:w="130"/>
            </w:tcMar>
            <w:vAlign w:val="center"/>
          </w:tcPr>
          <w:p>
            <w:r>
              <w:rPr>
                <w:rFonts w:ascii="Arial" w:cs="Arial" w:eastAsia="Arial" w:hAnsi="Arial"/>
                <w:b/>
                <w:bCs/>
                <w:color w:val="1A1A1A"/>
                <w:sz w:val="18"/>
                <w:szCs w:val="18"/>
              </w:rPr>
              <w:t xml:space="preserve">4</w:t>
            </w:r>
          </w:p>
        </w:tc>
        <w:tc>
          <w:tcPr>
            <w:tcW w:type="dxa" w:w="2400"/>
            <w:tcBorders>
              <w:top w:val="none" w:color="FFFFFF" w:sz="0"/>
              <w:left w:val="none" w:color="FFFFFF" w:sz="0"/>
              <w:bottom w:val="single" w:color="EEEEEE" w:sz="2"/>
              <w:right w:val="none" w:color="FFFFFF" w:sz="0"/>
            </w:tcBorders>
            <w:shd w:fill="FBD9DD"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Scottie Scheffler</w:t>
            </w:r>
          </w:p>
        </w:tc>
        <w:tc>
          <w:tcPr>
            <w:tcW w:type="dxa" w:w="750"/>
            <w:tcBorders>
              <w:top w:val="none" w:color="FFFFFF" w:sz="0"/>
              <w:left w:val="none" w:color="FFFFFF" w:sz="0"/>
              <w:bottom w:val="single" w:color="EEEEEE" w:sz="2"/>
              <w:right w:val="none" w:color="FFFFFF" w:sz="0"/>
            </w:tcBorders>
            <w:shd w:fill="FBD9DD"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1</w:t>
            </w:r>
          </w:p>
        </w:tc>
        <w:tc>
          <w:tcPr>
            <w:tcW w:type="dxa" w:w="1500"/>
            <w:tcBorders>
              <w:top w:val="none" w:color="FFFFFF" w:sz="0"/>
              <w:left w:val="none" w:color="FFFFFF" w:sz="0"/>
              <w:bottom w:val="single" w:color="EEEEEE" w:sz="2"/>
              <w:right w:val="none" w:color="FFFFFF" w:sz="0"/>
            </w:tcBorders>
            <w:shd w:fill="FBD9DD"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PGA (+0.049)</w:t>
            </w:r>
          </w:p>
        </w:tc>
        <w:tc>
          <w:tcPr>
            <w:tcW w:type="dxa" w:w="1500"/>
            <w:tcBorders>
              <w:top w:val="none" w:color="FFFFFF" w:sz="0"/>
              <w:left w:val="none" w:color="FFFFFF" w:sz="0"/>
              <w:bottom w:val="single" w:color="EEEEEE" w:sz="2"/>
              <w:right w:val="none" w:color="FFFFFF" w:sz="0"/>
            </w:tcBorders>
            <w:shd w:fill="FBD9DD"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none</w:t>
            </w:r>
          </w:p>
        </w:tc>
        <w:tc>
          <w:tcPr>
            <w:tcW w:type="dxa" w:w="2700"/>
            <w:tcBorders>
              <w:top w:val="none" w:color="FFFFFF" w:sz="0"/>
              <w:left w:val="none" w:color="FFFFFF" w:sz="0"/>
              <w:bottom w:val="single" w:color="EEEEEE" w:sz="2"/>
              <w:right w:val="none" w:color="FFFFFF" w:sz="0"/>
            </w:tcBorders>
            <w:shd w:fill="FBD9DD"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#1 skill rank, but no Birkdale history</w:t>
            </w:r>
          </w:p>
        </w:tc>
      </w:tr>
      <w:tr>
        <w:tc>
          <w:tcPr>
            <w:tcW w:type="dxa" w:w="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bCs/>
                <w:color w:val="1A1A1A"/>
                <w:sz w:val="18"/>
                <w:szCs w:val="18"/>
              </w:rPr>
              <w:t xml:space="preserve">5</w:t>
            </w:r>
          </w:p>
        </w:tc>
        <w:tc>
          <w:tcPr>
            <w:tcW w:type="dxa" w:w="24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Collin Morikawa</w:t>
            </w:r>
          </w:p>
        </w:tc>
        <w:tc>
          <w:tcPr>
            <w:tcW w:type="dxa" w:w="75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8</w:t>
            </w:r>
          </w:p>
        </w:tc>
        <w:tc>
          <w:tcPr>
            <w:tcW w:type="dxa" w:w="1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PGA (+0.043)</w:t>
            </w:r>
          </w:p>
        </w:tc>
        <w:tc>
          <w:tcPr>
            <w:tcW w:type="dxa" w:w="1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none</w:t>
            </w:r>
          </w:p>
        </w:tc>
        <w:tc>
          <w:tcPr>
            <w:tcW w:type="dxa" w:w="27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
            </w:r>
          </w:p>
        </w:tc>
      </w:tr>
      <w:tr>
        <w:tc>
          <w:tcPr>
            <w:tcW w:type="dxa" w:w="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bCs/>
                <w:color w:val="1A1A1A"/>
                <w:sz w:val="18"/>
                <w:szCs w:val="18"/>
              </w:rPr>
              <w:t xml:space="preserve">6</w:t>
            </w:r>
          </w:p>
        </w:tc>
        <w:tc>
          <w:tcPr>
            <w:tcW w:type="dxa" w:w="24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Alex Fitzpatrick</w:t>
            </w:r>
          </w:p>
        </w:tc>
        <w:tc>
          <w:tcPr>
            <w:tcW w:type="dxa" w:w="75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28</w:t>
            </w:r>
          </w:p>
        </w:tc>
        <w:tc>
          <w:tcPr>
            <w:tcW w:type="dxa" w:w="1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PGA (+0.060)</w:t>
            </w:r>
          </w:p>
        </w:tc>
        <w:tc>
          <w:tcPr>
            <w:tcW w:type="dxa" w:w="1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none</w:t>
            </w:r>
          </w:p>
        </w:tc>
        <w:tc>
          <w:tcPr>
            <w:tcW w:type="dxa" w:w="27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Elite current form</w:t>
            </w:r>
          </w:p>
        </w:tc>
      </w:tr>
      <w:tr>
        <w:tc>
          <w:tcPr>
            <w:tcW w:type="dxa" w:w="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bCs/>
                <w:color w:val="1A1A1A"/>
                <w:sz w:val="18"/>
                <w:szCs w:val="18"/>
              </w:rPr>
              <w:t xml:space="preserve">7</w:t>
            </w:r>
          </w:p>
        </w:tc>
        <w:tc>
          <w:tcPr>
            <w:tcW w:type="dxa" w:w="24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Matt Fitzpatrick</w:t>
            </w:r>
          </w:p>
        </w:tc>
        <w:tc>
          <w:tcPr>
            <w:tcW w:type="dxa" w:w="75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3</w:t>
            </w:r>
          </w:p>
        </w:tc>
        <w:tc>
          <w:tcPr>
            <w:tcW w:type="dxa" w:w="1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PGA (+0.033)</w:t>
            </w:r>
          </w:p>
        </w:tc>
        <w:tc>
          <w:tcPr>
            <w:tcW w:type="dxa" w:w="1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none</w:t>
            </w:r>
          </w:p>
        </w:tc>
        <w:tc>
          <w:tcPr>
            <w:tcW w:type="dxa" w:w="27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
            </w:r>
          </w:p>
        </w:tc>
      </w:tr>
      <w:tr>
        <w:tc>
          <w:tcPr>
            <w:tcW w:type="dxa" w:w="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bCs/>
                <w:color w:val="1A1A1A"/>
                <w:sz w:val="18"/>
                <w:szCs w:val="18"/>
              </w:rPr>
              <w:t xml:space="preserve">8</w:t>
            </w:r>
          </w:p>
        </w:tc>
        <w:tc>
          <w:tcPr>
            <w:tcW w:type="dxa" w:w="24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Tommy Fleetwood</w:t>
            </w:r>
          </w:p>
        </w:tc>
        <w:tc>
          <w:tcPr>
            <w:tcW w:type="dxa" w:w="75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4</w:t>
            </w:r>
          </w:p>
        </w:tc>
        <w:tc>
          <w:tcPr>
            <w:tcW w:type="dxa" w:w="1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PGA (+0.033)</w:t>
            </w:r>
          </w:p>
        </w:tc>
        <w:tc>
          <w:tcPr>
            <w:tcW w:type="dxa" w:w="1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none</w:t>
            </w:r>
          </w:p>
        </w:tc>
        <w:tc>
          <w:tcPr>
            <w:tcW w:type="dxa" w:w="27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Home-soil pick, no Birkdale history on record</w:t>
            </w:r>
          </w:p>
        </w:tc>
      </w:tr>
      <w:tr>
        <w:tc>
          <w:tcPr>
            <w:tcW w:type="dxa" w:w="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bCs/>
                <w:color w:val="1A1A1A"/>
                <w:sz w:val="18"/>
                <w:szCs w:val="18"/>
              </w:rPr>
              <w:t xml:space="preserve">9</w:t>
            </w:r>
          </w:p>
        </w:tc>
        <w:tc>
          <w:tcPr>
            <w:tcW w:type="dxa" w:w="24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Cameron Young</w:t>
            </w:r>
          </w:p>
        </w:tc>
        <w:tc>
          <w:tcPr>
            <w:tcW w:type="dxa" w:w="75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9</w:t>
            </w:r>
          </w:p>
        </w:tc>
        <w:tc>
          <w:tcPr>
            <w:tcW w:type="dxa" w:w="1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PGA (+0.035)</w:t>
            </w:r>
          </w:p>
        </w:tc>
        <w:tc>
          <w:tcPr>
            <w:tcW w:type="dxa" w:w="1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none</w:t>
            </w:r>
          </w:p>
        </w:tc>
        <w:tc>
          <w:tcPr>
            <w:tcW w:type="dxa" w:w="27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
            </w:r>
          </w:p>
        </w:tc>
      </w:tr>
      <w:tr>
        <w:tc>
          <w:tcPr>
            <w:tcW w:type="dxa" w:w="500"/>
            <w:tcBorders>
              <w:top w:val="none" w:color="FFFFFF" w:sz="0"/>
              <w:left w:val="none" w:color="FFFFFF" w:sz="0"/>
              <w:bottom w:val="single" w:color="EEEEEE" w:sz="2"/>
              <w:right w:val="none" w:color="FFFFFF" w:sz="0"/>
            </w:tcBorders>
            <w:shd w:fill="E3E7F7" w:val="clear"/>
            <w:tcMar>
              <w:top w:type="dxa" w:w="80"/>
              <w:left w:type="dxa" w:w="130"/>
              <w:bottom w:type="dxa" w:w="80"/>
              <w:right w:type="dxa" w:w="130"/>
            </w:tcMar>
            <w:vAlign w:val="center"/>
          </w:tcPr>
          <w:p>
            <w:r>
              <w:rPr>
                <w:rFonts w:ascii="Arial" w:cs="Arial" w:eastAsia="Arial" w:hAnsi="Arial"/>
                <w:b/>
                <w:bCs/>
                <w:color w:val="1A1A1A"/>
                <w:sz w:val="18"/>
                <w:szCs w:val="18"/>
              </w:rPr>
              <w:t xml:space="preserve">10</w:t>
            </w:r>
          </w:p>
        </w:tc>
        <w:tc>
          <w:tcPr>
            <w:tcW w:type="dxa" w:w="2400"/>
            <w:tcBorders>
              <w:top w:val="none" w:color="FFFFFF" w:sz="0"/>
              <w:left w:val="none" w:color="FFFFFF" w:sz="0"/>
              <w:bottom w:val="single" w:color="EEEEEE" w:sz="2"/>
              <w:right w:val="none" w:color="FFFFFF" w:sz="0"/>
            </w:tcBorders>
            <w:shd w:fill="E3E7F7" w:val="clear"/>
            <w:tcMar>
              <w:top w:type="dxa" w:w="80"/>
              <w:left w:type="dxa" w:w="130"/>
              <w:bottom w:type="dxa" w:w="80"/>
              <w:right w:type="dxa" w:w="130"/>
            </w:tcMar>
            <w:vAlign w:val="center"/>
          </w:tcPr>
          <w:p>
            <w:r>
              <w:rPr>
                <w:rFonts w:ascii="Arial" w:cs="Arial" w:eastAsia="Arial" w:hAnsi="Arial"/>
                <w:b/>
                <w:bCs/>
                <w:color w:val="1A1A1A"/>
                <w:sz w:val="18"/>
                <w:szCs w:val="18"/>
              </w:rPr>
              <w:t xml:space="preserve">Xander Schauffele</w:t>
            </w:r>
          </w:p>
        </w:tc>
        <w:tc>
          <w:tcPr>
            <w:tcW w:type="dxa" w:w="750"/>
            <w:tcBorders>
              <w:top w:val="none" w:color="FFFFFF" w:sz="0"/>
              <w:left w:val="none" w:color="FFFFFF" w:sz="0"/>
              <w:bottom w:val="single" w:color="EEEEEE" w:sz="2"/>
              <w:right w:val="none" w:color="FFFFFF" w:sz="0"/>
            </w:tcBorders>
            <w:shd w:fill="E3E7F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15</w:t>
            </w:r>
          </w:p>
        </w:tc>
        <w:tc>
          <w:tcPr>
            <w:tcW w:type="dxa" w:w="1500"/>
            <w:tcBorders>
              <w:top w:val="none" w:color="FFFFFF" w:sz="0"/>
              <w:left w:val="none" w:color="FFFFFF" w:sz="0"/>
              <w:bottom w:val="single" w:color="EEEEEE" w:sz="2"/>
              <w:right w:val="none" w:color="FFFFFF" w:sz="0"/>
            </w:tcBorders>
            <w:shd w:fill="E3E7F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PGA (+0.029)</w:t>
            </w:r>
          </w:p>
        </w:tc>
        <w:tc>
          <w:tcPr>
            <w:tcW w:type="dxa" w:w="1500"/>
            <w:tcBorders>
              <w:top w:val="none" w:color="FFFFFF" w:sz="0"/>
              <w:left w:val="none" w:color="FFFFFF" w:sz="0"/>
              <w:bottom w:val="single" w:color="EEEEEE" w:sz="2"/>
              <w:right w:val="none" w:color="FFFFFF" w:sz="0"/>
            </w:tcBorders>
            <w:shd w:fill="E3E7F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T20, 2017</w:t>
            </w:r>
          </w:p>
        </w:tc>
        <w:tc>
          <w:tcPr>
            <w:tcW w:type="dxa" w:w="2700"/>
            <w:tcBorders>
              <w:top w:val="none" w:color="FFFFFF" w:sz="0"/>
              <w:left w:val="none" w:color="FFFFFF" w:sz="0"/>
              <w:bottom w:val="single" w:color="EEEEEE" w:sz="2"/>
              <w:right w:val="none" w:color="FFFFFF" w:sz="0"/>
            </w:tcBorders>
            <w:shd w:fill="E3E7F7"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Moves up on Birkdale pedigree</w:t>
            </w:r>
          </w:p>
        </w:tc>
      </w:tr>
      <w:tr>
        <w:tc>
          <w:tcPr>
            <w:tcW w:type="dxa" w:w="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bCs/>
                <w:color w:val="1A1A1A"/>
                <w:sz w:val="18"/>
                <w:szCs w:val="18"/>
              </w:rPr>
              <w:t xml:space="preserve">11</w:t>
            </w:r>
          </w:p>
        </w:tc>
        <w:tc>
          <w:tcPr>
            <w:tcW w:type="dxa" w:w="24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Sam Burns</w:t>
            </w:r>
          </w:p>
        </w:tc>
        <w:tc>
          <w:tcPr>
            <w:tcW w:type="dxa" w:w="75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6</w:t>
            </w:r>
          </w:p>
        </w:tc>
        <w:tc>
          <w:tcPr>
            <w:tcW w:type="dxa" w:w="1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PGA (+0.030)</w:t>
            </w:r>
          </w:p>
        </w:tc>
        <w:tc>
          <w:tcPr>
            <w:tcW w:type="dxa" w:w="1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none</w:t>
            </w:r>
          </w:p>
        </w:tc>
        <w:tc>
          <w:tcPr>
            <w:tcW w:type="dxa" w:w="27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
            </w:r>
          </w:p>
        </w:tc>
      </w:tr>
      <w:tr>
        <w:tc>
          <w:tcPr>
            <w:tcW w:type="dxa" w:w="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bCs/>
                <w:color w:val="1A1A1A"/>
                <w:sz w:val="18"/>
                <w:szCs w:val="18"/>
              </w:rPr>
              <w:t xml:space="preserve">12</w:t>
            </w:r>
          </w:p>
        </w:tc>
        <w:tc>
          <w:tcPr>
            <w:tcW w:type="dxa" w:w="24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Russell Henley</w:t>
            </w:r>
          </w:p>
        </w:tc>
        <w:tc>
          <w:tcPr>
            <w:tcW w:type="dxa" w:w="75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11</w:t>
            </w:r>
          </w:p>
        </w:tc>
        <w:tc>
          <w:tcPr>
            <w:tcW w:type="dxa" w:w="1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PGA (+0.030)</w:t>
            </w:r>
          </w:p>
        </w:tc>
        <w:tc>
          <w:tcPr>
            <w:tcW w:type="dxa" w:w="1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none</w:t>
            </w:r>
          </w:p>
        </w:tc>
        <w:tc>
          <w:tcPr>
            <w:tcW w:type="dxa" w:w="27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
            </w:r>
          </w:p>
        </w:tc>
      </w:tr>
      <w:tr>
        <w:tc>
          <w:tcPr>
            <w:tcW w:type="dxa" w:w="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bCs/>
                <w:color w:val="1A1A1A"/>
                <w:sz w:val="18"/>
                <w:szCs w:val="18"/>
              </w:rPr>
              <w:t xml:space="preserve">13</w:t>
            </w:r>
          </w:p>
        </w:tc>
        <w:tc>
          <w:tcPr>
            <w:tcW w:type="dxa" w:w="24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Ludvig Åberg</w:t>
            </w:r>
          </w:p>
        </w:tc>
        <w:tc>
          <w:tcPr>
            <w:tcW w:type="dxa" w:w="75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13</w:t>
            </w:r>
          </w:p>
        </w:tc>
        <w:tc>
          <w:tcPr>
            <w:tcW w:type="dxa" w:w="1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PGA (+0.029)</w:t>
            </w:r>
          </w:p>
        </w:tc>
        <w:tc>
          <w:tcPr>
            <w:tcW w:type="dxa" w:w="1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none</w:t>
            </w:r>
          </w:p>
        </w:tc>
        <w:tc>
          <w:tcPr>
            <w:tcW w:type="dxa" w:w="27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
            </w:r>
          </w:p>
        </w:tc>
      </w:tr>
      <w:tr>
        <w:tc>
          <w:tcPr>
            <w:tcW w:type="dxa" w:w="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bCs/>
                <w:color w:val="1A1A1A"/>
                <w:sz w:val="18"/>
                <w:szCs w:val="18"/>
              </w:rPr>
              <w:t xml:space="preserve">14</w:t>
            </w:r>
          </w:p>
        </w:tc>
        <w:tc>
          <w:tcPr>
            <w:tcW w:type="dxa" w:w="24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Wyndham Clark</w:t>
            </w:r>
          </w:p>
        </w:tc>
        <w:tc>
          <w:tcPr>
            <w:tcW w:type="dxa" w:w="75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7</w:t>
            </w:r>
          </w:p>
        </w:tc>
        <w:tc>
          <w:tcPr>
            <w:tcW w:type="dxa" w:w="1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PGA (+0.026)</w:t>
            </w:r>
          </w:p>
        </w:tc>
        <w:tc>
          <w:tcPr>
            <w:tcW w:type="dxa" w:w="15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none</w:t>
            </w:r>
          </w:p>
        </w:tc>
        <w:tc>
          <w:tcPr>
            <w:tcW w:type="dxa" w:w="2700"/>
            <w:tcBorders>
              <w:top w:val="none" w:color="FFFFFF" w:sz="0"/>
              <w:left w:val="none" w:color="FFFFFF" w:sz="0"/>
              <w:bottom w:val="single" w:color="EEEEEE" w:sz="2"/>
              <w:right w:val="none" w:color="FFFFFF" w:sz="0"/>
            </w:tcBorders>
            <w:shd w:fill="F4F4F8"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
            </w:r>
          </w:p>
        </w:tc>
      </w:tr>
      <w:tr>
        <w:tc>
          <w:tcPr>
            <w:tcW w:type="dxa" w:w="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bCs/>
                <w:color w:val="1A1A1A"/>
                <w:sz w:val="18"/>
                <w:szCs w:val="18"/>
              </w:rPr>
              <w:t xml:space="preserve">15</w:t>
            </w:r>
          </w:p>
        </w:tc>
        <w:tc>
          <w:tcPr>
            <w:tcW w:type="dxa" w:w="24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Bryson DeChambeau</w:t>
            </w:r>
          </w:p>
        </w:tc>
        <w:tc>
          <w:tcPr>
            <w:tcW w:type="dxa" w:w="75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24</w:t>
            </w:r>
          </w:p>
        </w:tc>
        <w:tc>
          <w:tcPr>
            <w:tcW w:type="dxa" w:w="1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LIV (+0.039)</w:t>
            </w:r>
          </w:p>
        </w:tc>
        <w:tc>
          <w:tcPr>
            <w:tcW w:type="dxa" w:w="15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none</w:t>
            </w:r>
          </w:p>
        </w:tc>
        <w:tc>
          <w:tcPr>
            <w:tcW w:type="dxa" w:w="2700"/>
            <w:tcBorders>
              <w:top w:val="none" w:color="FFFFFF" w:sz="0"/>
              <w:left w:val="none" w:color="FFFFFF" w:sz="0"/>
              <w:bottom w:val="single" w:color="EEEEEE" w:sz="2"/>
              <w:right w:val="none" w:color="FFFFFF" w:sz="0"/>
            </w:tcBorders>
            <w:shd w:fill="FFFFFF" w:val="clear"/>
            <w:tcMar>
              <w:top w:type="dxa" w:w="80"/>
              <w:left w:type="dxa" w:w="130"/>
              <w:bottom w:type="dxa" w:w="80"/>
              <w:right w:type="dxa" w:w="130"/>
            </w:tcMar>
            <w:vAlign w:val="center"/>
          </w:tcPr>
          <w:p>
            <w:r>
              <w:rPr>
                <w:rFonts w:ascii="Arial" w:cs="Arial" w:eastAsia="Arial" w:hAnsi="Arial"/>
                <w:b w:val="false"/>
                <w:bCs w:val="false"/>
                <w:color w:val="1A1A1A"/>
                <w:sz w:val="18"/>
                <w:szCs w:val="18"/>
              </w:rPr>
              <w:t xml:space="preserve"/>
            </w:r>
          </w:p>
        </w:tc>
      </w:tr>
    </w:tbl>
    <w:p>
      <w:pPr>
        <w:spacing w:after="160"/>
      </w:pPr>
    </w:p>
    <w:p>
      <w:pPr>
        <w:spacing w:after="220"/>
      </w:pPr>
      <w:r>
        <w:rPr>
          <w:rFonts w:ascii="Arial" w:cs="Arial" w:eastAsia="Arial" w:hAnsi="Arial"/>
          <w:i/>
          <w:iCs/>
          <w:color w:val="6B6B6B"/>
          <w:sz w:val="18"/>
          <w:szCs w:val="18"/>
        </w:rPr>
        <w:t xml:space="preserve">Full ranking (all 156 players) and raw SQL tables are available as a separate download alongside this memo.</w:t>
      </w:r>
    </w:p>
    <w:p>
      <w:pPr>
        <w:pBdr>
          <w:bottom w:val="single" w:color="E5E5E5" w:sz="4"/>
        </w:pBdr>
        <w:spacing w:after="180" w:before="320"/>
      </w:pPr>
      <w:r>
        <w:rPr>
          <w:rFonts w:ascii="Georgia" w:cs="Georgia" w:eastAsia="Georgia" w:hAnsi="Georgia"/>
          <w:b/>
          <w:bCs/>
          <w:color w:val="111111"/>
          <w:sz w:val="28"/>
          <w:szCs w:val="28"/>
        </w:rPr>
        <w:t xml:space="preserve">VI. Three Most Likely Winners</w:t>
      </w:r>
    </w:p>
    <w:p>
      <w:pPr>
        <w:spacing w:after="140" w:before="260"/>
      </w:pPr>
      <w:r>
        <w:rPr>
          <w:rFonts w:ascii="Georgia" w:cs="Georgia" w:eastAsia="Georgia" w:hAnsi="Georgia"/>
          <w:b/>
          <w:bCs/>
          <w:color w:val="111111"/>
          <w:sz w:val="24"/>
          <w:szCs w:val="24"/>
        </w:rPr>
        <w:t xml:space="preserve">Pick 1 — Rory McIlroy | Favorite</w:t>
      </w:r>
    </w:p>
    <w:p>
      <w:pPr>
        <w:spacing w:after="60"/>
      </w:pPr>
      <w:r>
        <w:drawing>
          <wp:inline distT="0" distB="0" distL="0" distR="0">
            <wp:extent cx="2924175" cy="23241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924175" cy="2324100"/>
                    </a:xfrm>
                    <a:prstGeom prst="rect">
                      <a:avLst/>
                    </a:prstGeom>
                  </pic:spPr>
                </pic:pic>
              </a:graphicData>
            </a:graphic>
          </wp:inline>
        </w:drawing>
      </w:r>
    </w:p>
    <w:p>
      <w:pPr>
        <w:spacing w:after="160"/>
      </w:pPr>
      <w:r>
        <w:rPr>
          <w:rFonts w:ascii="Arial" w:cs="Arial" w:eastAsia="Arial" w:hAnsi="Arial"/>
          <w:i/>
          <w:iCs/>
          <w:color w:val="6B6B6B"/>
          <w:sz w:val="16"/>
          <w:szCs w:val="16"/>
        </w:rPr>
        <w:t xml:space="preserve">Rory McIlroy  ·  Photograph: Charlie Crowhurst/R&amp;A/Getty Images</w:t>
      </w:r>
    </w:p>
    <w:p>
      <w:pPr>
        <w:spacing w:after="200"/>
      </w:pPr>
      <w:r>
        <w:rPr>
          <w:rFonts w:ascii="Arial" w:cs="Arial" w:eastAsia="Arial" w:hAnsi="Arial"/>
          <w:i w:val="false"/>
          <w:iCs w:val="false"/>
          <w:color w:val="3D3D3D"/>
          <w:sz w:val="20"/>
          <w:szCs w:val="20"/>
        </w:rPr>
        <w:t xml:space="preserve">Tops every layer of the model: elite skill rank (#2), the hottest full-season Strokes Gained pace in the field (38 rounds, not a hot streak), and real Royal Birkdale pedigree (T4 in 2017). No one else in the 156-player field checks all three boxes.</w:t>
      </w:r>
    </w:p>
    <w:p>
      <w:pPr>
        <w:spacing w:after="140" w:before="260"/>
      </w:pPr>
      <w:r>
        <w:rPr>
          <w:rFonts w:ascii="Georgia" w:cs="Georgia" w:eastAsia="Georgia" w:hAnsi="Georgia"/>
          <w:b/>
          <w:bCs/>
          <w:color w:val="111111"/>
          <w:sz w:val="24"/>
          <w:szCs w:val="24"/>
        </w:rPr>
        <w:t xml:space="preserve">Pick 2 — Jon Rahm | Co-Favorite</w:t>
      </w:r>
    </w:p>
    <w:p>
      <w:pPr>
        <w:spacing w:after="60"/>
      </w:pPr>
      <w:r>
        <w:drawing>
          <wp:inline distT="0" distB="0" distL="0" distR="0">
            <wp:extent cx="2924175" cy="16383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924175" cy="1638300"/>
                    </a:xfrm>
                    <a:prstGeom prst="rect">
                      <a:avLst/>
                    </a:prstGeom>
                  </pic:spPr>
                </pic:pic>
              </a:graphicData>
            </a:graphic>
          </wp:inline>
        </w:drawing>
      </w:r>
    </w:p>
    <w:p>
      <w:pPr>
        <w:spacing w:after="160"/>
      </w:pPr>
      <w:r>
        <w:rPr>
          <w:rFonts w:ascii="Arial" w:cs="Arial" w:eastAsia="Arial" w:hAnsi="Arial"/>
          <w:i/>
          <w:iCs/>
          <w:color w:val="6B6B6B"/>
          <w:sz w:val="16"/>
          <w:szCs w:val="16"/>
        </w:rPr>
        <w:t xml:space="preserve">Jon Rahm  ·  Photo by Manuel Velasquez/Getty Images</w:t>
      </w:r>
    </w:p>
    <w:p>
      <w:pPr>
        <w:spacing w:after="200"/>
      </w:pPr>
      <w:r>
        <w:rPr>
          <w:rFonts w:ascii="Arial" w:cs="Arial" w:eastAsia="Arial" w:hAnsi="Arial"/>
          <w:i w:val="false"/>
          <w:iCs w:val="false"/>
          <w:color w:val="3D3D3D"/>
          <w:sz w:val="20"/>
          <w:szCs w:val="20"/>
        </w:rPr>
        <w:t xml:space="preserve">Statistically even with McIlroy on SG/round, sustained across a full 36-round LIV season — this isn’t a short-sample fluke. No recorded Birkdale history, so he’s leaning entirely on current form and skill rank (#5), and it’s enough to hold the #2 spot on its own.</w:t>
      </w:r>
    </w:p>
    <w:p>
      <w:pPr>
        <w:spacing w:after="140" w:before="260"/>
      </w:pPr>
      <w:r>
        <w:rPr>
          <w:rFonts w:ascii="Georgia" w:cs="Georgia" w:eastAsia="Georgia" w:hAnsi="Georgia"/>
          <w:b/>
          <w:bCs/>
          <w:color w:val="111111"/>
          <w:sz w:val="24"/>
          <w:szCs w:val="24"/>
        </w:rPr>
        <w:t xml:space="preserve">Pick 3 — Tyrrell Hatton | Form Play</w:t>
      </w:r>
    </w:p>
    <w:p>
      <w:pPr>
        <w:spacing w:after="60"/>
      </w:pPr>
      <w:r>
        <w:drawing>
          <wp:inline distT="0" distB="0" distL="0" distR="0">
            <wp:extent cx="2924175" cy="16383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924175" cy="1638300"/>
                    </a:xfrm>
                    <a:prstGeom prst="rect">
                      <a:avLst/>
                    </a:prstGeom>
                  </pic:spPr>
                </pic:pic>
              </a:graphicData>
            </a:graphic>
          </wp:inline>
        </w:drawing>
      </w:r>
    </w:p>
    <w:p>
      <w:pPr>
        <w:spacing w:after="160"/>
      </w:pPr>
      <w:r>
        <w:rPr>
          <w:rFonts w:ascii="Arial" w:cs="Arial" w:eastAsia="Arial" w:hAnsi="Arial"/>
          <w:i/>
          <w:iCs/>
          <w:color w:val="6B6B6B"/>
          <w:sz w:val="16"/>
          <w:szCs w:val="16"/>
        </w:rPr>
        <w:t xml:space="preserve">Tyrrell Hatton  ·  Photo by Kevin C. Cox/Getty Images</w:t>
      </w:r>
    </w:p>
    <w:p>
      <w:pPr>
        <w:spacing w:after="200"/>
      </w:pPr>
      <w:r>
        <w:rPr>
          <w:rFonts w:ascii="Arial" w:cs="Arial" w:eastAsia="Arial" w:hAnsi="Arial"/>
          <w:i w:val="false"/>
          <w:iCs w:val="false"/>
          <w:color w:val="3D3D3D"/>
          <w:sz w:val="20"/>
          <w:szCs w:val="20"/>
        </w:rPr>
        <w:t xml:space="preserve">The highest raw SG/round figure in the entire field. The honest caveat stands — it’s built on only 18 DP World Tour rounds, and Bayesian shrinkage pulled his score down accordingly — but even after that correction he’s still #3. Worth taking seriously, not just as a value bet.</w:t>
      </w:r>
    </w:p>
    <w:p>
      <w:pPr>
        <w:pBdr>
          <w:bottom w:val="single" w:color="E5E5E5" w:sz="4"/>
        </w:pBdr>
        <w:spacing w:after="180" w:before="320"/>
      </w:pPr>
      <w:r>
        <w:rPr>
          <w:rFonts w:ascii="Georgia" w:cs="Georgia" w:eastAsia="Georgia" w:hAnsi="Georgia"/>
          <w:b/>
          <w:bCs/>
          <w:color w:val="111111"/>
          <w:sz w:val="28"/>
          <w:szCs w:val="28"/>
        </w:rPr>
        <w:t xml:space="preserve">VII. Surprise Pick</w:t>
      </w:r>
    </w:p>
    <w:p>
      <w:pPr>
        <w:spacing w:after="140" w:before="260"/>
      </w:pPr>
      <w:r>
        <w:rPr>
          <w:rFonts w:ascii="Georgia" w:cs="Georgia" w:eastAsia="Georgia" w:hAnsi="Georgia"/>
          <w:b/>
          <w:bCs/>
          <w:color w:val="111111"/>
          <w:sz w:val="24"/>
          <w:szCs w:val="24"/>
        </w:rPr>
        <w:t xml:space="preserve">Alex Noren | The Course-History Longshot</w:t>
      </w:r>
    </w:p>
    <w:p>
      <w:pPr>
        <w:spacing w:after="60"/>
      </w:pPr>
      <w:r>
        <w:drawing>
          <wp:inline distT="0" distB="0" distL="0" distR="0">
            <wp:extent cx="2924175" cy="16287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924175" cy="1628775"/>
                    </a:xfrm>
                    <a:prstGeom prst="rect">
                      <a:avLst/>
                    </a:prstGeom>
                  </pic:spPr>
                </pic:pic>
              </a:graphicData>
            </a:graphic>
          </wp:inline>
        </w:drawing>
      </w:r>
    </w:p>
    <w:p>
      <w:pPr>
        <w:spacing w:after="160"/>
      </w:pPr>
      <w:r>
        <w:rPr>
          <w:rFonts w:ascii="Arial" w:cs="Arial" w:eastAsia="Arial" w:hAnsi="Arial"/>
          <w:i/>
          <w:iCs/>
          <w:color w:val="6B6B6B"/>
          <w:sz w:val="16"/>
          <w:szCs w:val="16"/>
        </w:rPr>
        <w:t xml:space="preserve">Alex Noren  ·  (David Cannon/Getty Images)</w:t>
      </w:r>
    </w:p>
    <w:p>
      <w:pPr>
        <w:spacing w:after="200"/>
      </w:pPr>
      <w:r>
        <w:rPr>
          <w:rFonts w:ascii="Arial" w:cs="Arial" w:eastAsia="Arial" w:hAnsi="Arial"/>
          <w:i w:val="false"/>
          <w:iCs w:val="false"/>
          <w:color w:val="3D3D3D"/>
          <w:sz w:val="20"/>
          <w:szCs w:val="20"/>
        </w:rPr>
        <w:t xml:space="preserve">Ranked 21st overall — well outside the “favorite” tier — but he’s the strongest Royal Birkdale course-history match of anyone in the field who isn’t already a top-3 pick: T6 in 2017 and T19 in 2008, the only player besides Stenson and Scott with a real result in both editions. His current Data Golf rank (45th) and season form are solid-but-unspectacular, which is exactly why the model buries him — but “accurate, experienced ball-striker with two good finishes at a course that specifically rewards accuracy” is precisely the profile Royal Birkdale has rewarded twice now.</w:t>
      </w:r>
    </w:p>
    <w:p>
      <w:pPr>
        <w:spacing w:after="220"/>
      </w:pPr>
      <w:r>
        <w:rPr>
          <w:rFonts w:ascii="Arial" w:cs="Arial" w:eastAsia="Arial" w:hAnsi="Arial"/>
          <w:b/>
          <w:bCs/>
          <w:i/>
          <w:iCs/>
          <w:color w:val="6B6B6B"/>
          <w:sz w:val="18"/>
          <w:szCs w:val="18"/>
        </w:rPr>
        <w:t xml:space="preserve">Note on Scheffler: </w:t>
      </w:r>
      <w:r>
        <w:rPr>
          <w:rFonts w:ascii="Arial" w:cs="Arial" w:eastAsia="Arial" w:hAnsi="Arial"/>
          <w:i/>
          <w:iCs/>
          <w:color w:val="6B6B6B"/>
          <w:sz w:val="18"/>
          <w:szCs w:val="18"/>
        </w:rPr>
        <w:t xml:space="preserve">The world’s #1-ranked player sits 4th because he has no Royal Birkdale Open history in the data, and his 2026 SG pace — while strong across 58 rounds — hasn’t spiked the way McIlroy’s or Rahm’s has. Given the course’s history of favouring accurate drivers and compressing skill separation, this is a course where even an all-time great gets less of an automatic edge than usual.</w:t>
      </w:r>
    </w:p>
    <w:p>
      <w:pPr>
        <w:pBdr>
          <w:bottom w:val="single" w:color="E5E5E5" w:sz="4"/>
        </w:pBdr>
        <w:spacing w:after="180" w:before="320"/>
      </w:pPr>
      <w:r>
        <w:rPr>
          <w:rFonts w:ascii="Georgia" w:cs="Georgia" w:eastAsia="Georgia" w:hAnsi="Georgia"/>
          <w:b/>
          <w:bCs/>
          <w:color w:val="111111"/>
          <w:sz w:val="28"/>
          <w:szCs w:val="28"/>
        </w:rPr>
        <w:t xml:space="preserve">VIII. Conclusion &amp; Recommended Picks</w:t>
      </w:r>
    </w:p>
    <w:p>
      <w:pPr>
        <w:spacing w:after="200"/>
      </w:pPr>
      <w:r>
        <w:rPr>
          <w:rFonts w:ascii="Arial" w:cs="Arial" w:eastAsia="Arial" w:hAnsi="Arial"/>
          <w:i w:val="false"/>
          <w:iCs w:val="false"/>
          <w:color w:val="3D3D3D"/>
          <w:sz w:val="20"/>
          <w:szCs w:val="20"/>
        </w:rPr>
        <w:t xml:space="preserve">Royal Birkdale’s history says this is not a course where the favorite dominates — it’s a course where accuracy, experience, and hot current form matter more than star power alone. Four names to watch:</w:t>
      </w:r>
    </w:p>
    <w:p>
      <w:pPr>
        <w:spacing w:after="120"/>
      </w:pPr>
    </w:p>
    <w:tbl>
      <w:tblPr>
        <w:tblW w:type="dxa" w:w="9350"/>
        <w:tblBorders>
          <w:top w:val="single" w:color="auto" w:sz="4"/>
          <w:left w:val="single" w:color="auto" w:sz="4"/>
          <w:bottom w:val="single" w:color="auto" w:sz="4"/>
          <w:right w:val="single" w:color="auto" w:sz="4"/>
          <w:insideH w:val="single" w:color="auto" w:sz="4"/>
          <w:insideV w:val="single" w:color="auto" w:sz="4"/>
        </w:tblBorders>
      </w:tblPr>
      <w:tblGrid>
        <w:gridCol w:w="500"/>
        <w:gridCol w:w="2600"/>
        <w:gridCol w:w="6250"/>
      </w:tblGrid>
      <w:tr>
        <w:tc>
          <w:tcPr>
            <w:tcW w:type="dxa" w:w="500"/>
            <w:shd w:fill="0F1F3D" w:val="clear"/>
            <w:tcMar>
              <w:top w:type="dxa" w:w="140"/>
              <w:left w:type="dxa" w:w="100"/>
              <w:bottom w:type="dxa" w:w="140"/>
              <w:right w:type="dxa" w:w="100"/>
            </w:tcMar>
            <w:vAlign w:val="center"/>
          </w:tcPr>
          <w:p>
            <w:pPr>
              <w:jc w:val="center"/>
            </w:pPr>
            <w:r>
              <w:rPr>
                <w:rFonts w:ascii="Arial" w:cs="Arial" w:eastAsia="Arial" w:hAnsi="Arial"/>
                <w:b/>
                <w:bCs/>
                <w:color w:val="E8B84B"/>
                <w:sz w:val="22"/>
                <w:szCs w:val="22"/>
              </w:rPr>
              <w:t xml:space="preserve">1</w:t>
            </w:r>
          </w:p>
        </w:tc>
        <w:tc>
          <w:tcPr>
            <w:tcW w:type="dxa" w:w="2600"/>
            <w:shd w:fill="FFFFFF" w:val="clear"/>
            <w:tcMar>
              <w:top w:type="dxa" w:w="140"/>
              <w:left w:type="dxa" w:w="160"/>
              <w:bottom w:type="dxa" w:w="140"/>
              <w:right w:type="dxa" w:w="120"/>
            </w:tcMar>
            <w:vAlign w:val="center"/>
          </w:tcPr>
          <w:p>
            <w:r>
              <w:rPr>
                <w:rFonts w:ascii="Arial" w:cs="Arial" w:eastAsia="Arial" w:hAnsi="Arial"/>
                <w:b/>
                <w:bCs/>
                <w:color w:val="111111"/>
                <w:sz w:val="19"/>
                <w:szCs w:val="19"/>
              </w:rPr>
              <w:t xml:space="preserve">Rory McIlroy — Favorite</w:t>
            </w:r>
          </w:p>
        </w:tc>
        <w:tc>
          <w:tcPr>
            <w:tcW w:type="dxa" w:w="6250"/>
            <w:shd w:fill="FFFFFF" w:val="clear"/>
            <w:tcMar>
              <w:top w:type="dxa" w:w="140"/>
              <w:left w:type="dxa" w:w="160"/>
              <w:bottom w:type="dxa" w:w="140"/>
              <w:right w:type="dxa" w:w="160"/>
            </w:tcMar>
            <w:vAlign w:val="center"/>
          </w:tcPr>
          <w:p>
            <w:r>
              <w:rPr>
                <w:rFonts w:ascii="Arial" w:cs="Arial" w:eastAsia="Arial" w:hAnsi="Arial"/>
                <w:color w:val="333333"/>
                <w:sz w:val="19"/>
                <w:szCs w:val="19"/>
              </w:rPr>
              <w:t xml:space="preserve">Only player combining elite skill rank, full-season hot form, and real Birkdale pedigree.</w:t>
            </w:r>
          </w:p>
        </w:tc>
      </w:tr>
      <w:tr>
        <w:tc>
          <w:tcPr>
            <w:tcW w:type="dxa" w:w="500"/>
            <w:shd w:fill="0F1F3D" w:val="clear"/>
            <w:tcMar>
              <w:top w:type="dxa" w:w="140"/>
              <w:left w:type="dxa" w:w="100"/>
              <w:bottom w:type="dxa" w:w="140"/>
              <w:right w:type="dxa" w:w="100"/>
            </w:tcMar>
            <w:vAlign w:val="center"/>
          </w:tcPr>
          <w:p>
            <w:pPr>
              <w:jc w:val="center"/>
            </w:pPr>
            <w:r>
              <w:rPr>
                <w:rFonts w:ascii="Arial" w:cs="Arial" w:eastAsia="Arial" w:hAnsi="Arial"/>
                <w:b/>
                <w:bCs/>
                <w:color w:val="E8B84B"/>
                <w:sz w:val="22"/>
                <w:szCs w:val="22"/>
              </w:rPr>
              <w:t xml:space="preserve">2</w:t>
            </w:r>
          </w:p>
        </w:tc>
        <w:tc>
          <w:tcPr>
            <w:tcW w:type="dxa" w:w="2600"/>
            <w:shd w:fill="FFFFFF" w:val="clear"/>
            <w:tcMar>
              <w:top w:type="dxa" w:w="140"/>
              <w:left w:type="dxa" w:w="160"/>
              <w:bottom w:type="dxa" w:w="140"/>
              <w:right w:type="dxa" w:w="120"/>
            </w:tcMar>
            <w:vAlign w:val="center"/>
          </w:tcPr>
          <w:p>
            <w:r>
              <w:rPr>
                <w:rFonts w:ascii="Arial" w:cs="Arial" w:eastAsia="Arial" w:hAnsi="Arial"/>
                <w:b/>
                <w:bCs/>
                <w:color w:val="111111"/>
                <w:sz w:val="19"/>
                <w:szCs w:val="19"/>
              </w:rPr>
              <w:t xml:space="preserve">Jon Rahm — Co-Favorite</w:t>
            </w:r>
          </w:p>
        </w:tc>
        <w:tc>
          <w:tcPr>
            <w:tcW w:type="dxa" w:w="6250"/>
            <w:shd w:fill="FFFFFF" w:val="clear"/>
            <w:tcMar>
              <w:top w:type="dxa" w:w="140"/>
              <w:left w:type="dxa" w:w="160"/>
              <w:bottom w:type="dxa" w:w="140"/>
              <w:right w:type="dxa" w:w="160"/>
            </w:tcMar>
            <w:vAlign w:val="center"/>
          </w:tcPr>
          <w:p>
            <w:r>
              <w:rPr>
                <w:rFonts w:ascii="Arial" w:cs="Arial" w:eastAsia="Arial" w:hAnsi="Arial"/>
                <w:color w:val="333333"/>
                <w:sz w:val="19"/>
                <w:szCs w:val="19"/>
              </w:rPr>
              <w:t xml:space="preserve">Matches McIlroy’s SG/round pace over a full season, no course history needed.</w:t>
            </w:r>
          </w:p>
        </w:tc>
      </w:tr>
      <w:tr>
        <w:tc>
          <w:tcPr>
            <w:tcW w:type="dxa" w:w="500"/>
            <w:shd w:fill="0F1F3D" w:val="clear"/>
            <w:tcMar>
              <w:top w:type="dxa" w:w="140"/>
              <w:left w:type="dxa" w:w="100"/>
              <w:bottom w:type="dxa" w:w="140"/>
              <w:right w:type="dxa" w:w="100"/>
            </w:tcMar>
            <w:vAlign w:val="center"/>
          </w:tcPr>
          <w:p>
            <w:pPr>
              <w:jc w:val="center"/>
            </w:pPr>
            <w:r>
              <w:rPr>
                <w:rFonts w:ascii="Arial" w:cs="Arial" w:eastAsia="Arial" w:hAnsi="Arial"/>
                <w:b/>
                <w:bCs/>
                <w:color w:val="E8B84B"/>
                <w:sz w:val="22"/>
                <w:szCs w:val="22"/>
              </w:rPr>
              <w:t xml:space="preserve">3</w:t>
            </w:r>
          </w:p>
        </w:tc>
        <w:tc>
          <w:tcPr>
            <w:tcW w:type="dxa" w:w="2600"/>
            <w:shd w:fill="FFFFFF" w:val="clear"/>
            <w:tcMar>
              <w:top w:type="dxa" w:w="140"/>
              <w:left w:type="dxa" w:w="160"/>
              <w:bottom w:type="dxa" w:w="140"/>
              <w:right w:type="dxa" w:w="120"/>
            </w:tcMar>
            <w:vAlign w:val="center"/>
          </w:tcPr>
          <w:p>
            <w:r>
              <w:rPr>
                <w:rFonts w:ascii="Arial" w:cs="Arial" w:eastAsia="Arial" w:hAnsi="Arial"/>
                <w:b/>
                <w:bCs/>
                <w:color w:val="111111"/>
                <w:sz w:val="19"/>
                <w:szCs w:val="19"/>
              </w:rPr>
              <w:t xml:space="preserve">Tyrrell Hatton — Form Play</w:t>
            </w:r>
          </w:p>
        </w:tc>
        <w:tc>
          <w:tcPr>
            <w:tcW w:type="dxa" w:w="6250"/>
            <w:shd w:fill="FFFFFF" w:val="clear"/>
            <w:tcMar>
              <w:top w:type="dxa" w:w="140"/>
              <w:left w:type="dxa" w:w="160"/>
              <w:bottom w:type="dxa" w:w="140"/>
              <w:right w:type="dxa" w:w="160"/>
            </w:tcMar>
            <w:vAlign w:val="center"/>
          </w:tcPr>
          <w:p>
            <w:r>
              <w:rPr>
                <w:rFonts w:ascii="Arial" w:cs="Arial" w:eastAsia="Arial" w:hAnsi="Arial"/>
                <w:color w:val="333333"/>
                <w:sz w:val="19"/>
                <w:szCs w:val="19"/>
              </w:rPr>
              <w:t xml:space="preserve">Highest raw SG/round in the field, even after correcting for small sample size.</w:t>
            </w:r>
          </w:p>
        </w:tc>
      </w:tr>
      <w:tr>
        <w:tc>
          <w:tcPr>
            <w:tcW w:type="dxa" w:w="500"/>
            <w:shd w:fill="0F1F3D" w:val="clear"/>
            <w:tcMar>
              <w:top w:type="dxa" w:w="140"/>
              <w:left w:type="dxa" w:w="100"/>
              <w:bottom w:type="dxa" w:w="140"/>
              <w:right w:type="dxa" w:w="100"/>
            </w:tcMar>
            <w:vAlign w:val="center"/>
          </w:tcPr>
          <w:p>
            <w:pPr>
              <w:jc w:val="center"/>
            </w:pPr>
            <w:r>
              <w:rPr>
                <w:rFonts w:ascii="Arial" w:cs="Arial" w:eastAsia="Arial" w:hAnsi="Arial"/>
                <w:b/>
                <w:bCs/>
                <w:color w:val="E8B84B"/>
                <w:sz w:val="22"/>
                <w:szCs w:val="22"/>
              </w:rPr>
              <w:t xml:space="preserve">4</w:t>
            </w:r>
          </w:p>
        </w:tc>
        <w:tc>
          <w:tcPr>
            <w:tcW w:type="dxa" w:w="2600"/>
            <w:shd w:fill="FFFFFF" w:val="clear"/>
            <w:tcMar>
              <w:top w:type="dxa" w:w="140"/>
              <w:left w:type="dxa" w:w="160"/>
              <w:bottom w:type="dxa" w:w="140"/>
              <w:right w:type="dxa" w:w="120"/>
            </w:tcMar>
            <w:vAlign w:val="center"/>
          </w:tcPr>
          <w:p>
            <w:r>
              <w:rPr>
                <w:rFonts w:ascii="Arial" w:cs="Arial" w:eastAsia="Arial" w:hAnsi="Arial"/>
                <w:b/>
                <w:bCs/>
                <w:color w:val="111111"/>
                <w:sz w:val="19"/>
                <w:szCs w:val="19"/>
              </w:rPr>
              <w:t xml:space="preserve">Alex Noren — Longshot</w:t>
            </w:r>
          </w:p>
        </w:tc>
        <w:tc>
          <w:tcPr>
            <w:tcW w:type="dxa" w:w="6250"/>
            <w:shd w:fill="FFFFFF" w:val="clear"/>
            <w:tcMar>
              <w:top w:type="dxa" w:w="140"/>
              <w:left w:type="dxa" w:w="160"/>
              <w:bottom w:type="dxa" w:w="140"/>
              <w:right w:type="dxa" w:w="160"/>
            </w:tcMar>
            <w:vAlign w:val="center"/>
          </w:tcPr>
          <w:p>
            <w:r>
              <w:rPr>
                <w:rFonts w:ascii="Arial" w:cs="Arial" w:eastAsia="Arial" w:hAnsi="Arial"/>
                <w:color w:val="333333"/>
                <w:sz w:val="19"/>
                <w:szCs w:val="19"/>
              </w:rPr>
              <w:t xml:space="preserve">Best course-history profile outside the top 3; accuracy-first game fits Birkdale’s tendencies.</w:t>
            </w:r>
          </w:p>
        </w:tc>
      </w:tr>
    </w:tbl>
    <w:p>
      <w:pPr>
        <w:spacing w:after="220"/>
      </w:pPr>
    </w:p>
    <w:p>
      <w:pPr>
        <w:spacing w:after="200"/>
      </w:pPr>
      <w:r>
        <w:rPr>
          <w:rFonts w:ascii="Arial" w:cs="Arial" w:eastAsia="Arial" w:hAnsi="Arial"/>
          <w:i w:val="false"/>
          <w:iCs w:val="false"/>
          <w:color w:val="3D3D3D"/>
          <w:sz w:val="20"/>
          <w:szCs w:val="20"/>
        </w:rPr>
        <w:t xml:space="preserve">All four picks share a common thread: Royal Birkdale’s history rewards accuracy, current form, and proven course fit over star power alone — exactly the criteria this model was built to isolate.</w:t>
      </w:r>
    </w:p>
    <w:p>
      <w:pPr>
        <w:spacing w:after="120"/>
      </w:pPr>
    </w:p>
    <w:p>
      <w:pPr>
        <w:spacing w:after="220"/>
      </w:pPr>
      <w:r>
        <w:rPr>
          <w:rFonts w:ascii="Arial" w:cs="Arial" w:eastAsia="Arial" w:hAnsi="Arial"/>
          <w:b/>
          <w:bCs/>
          <w:i/>
          <w:iCs/>
          <w:color w:val="6B6B6B"/>
          <w:sz w:val="18"/>
          <w:szCs w:val="18"/>
        </w:rPr>
        <w:t xml:space="preserve">Methodology: </w:t>
      </w:r>
      <w:r>
        <w:rPr>
          <w:rFonts w:ascii="Arial" w:cs="Arial" w:eastAsia="Arial" w:hAnsi="Arial"/>
          <w:i/>
          <w:iCs/>
          <w:color w:val="6B6B6B"/>
          <w:sz w:val="18"/>
          <w:szCs w:val="18"/>
        </w:rPr>
        <w:t xml:space="preserve">All rankings were produced by SQL queries joining the field, pga_stats, dpwt_stats, liv_stats, and birkdale_history tables in a custom-built SQLite database (open2026.db). Data sourced from Data Golf’s field rankings, season Strokes Gained tables, and Course Insights pages. Analysis conducted as part of a portfolio project at the University of Southern California Marshall School of Business.</w:t>
      </w:r>
    </w:p>
    <w:sectPr>
      <w:headerReference w:type="default" r:id="rId7"/>
      <w:footerReference w:type="default" r:id="rId8"/>
      <w:pgSz w:w="12240" w:h="15840" w:orient="portrait"/>
      <w:pgMar w:top="1080" w:right="1440" w:bottom="108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before="120"/>
      <w:jc w:val="center"/>
    </w:pPr>
    <w:r>
      <w:rPr>
        <w:rFonts w:ascii="Arial" w:cs="Arial" w:eastAsia="Arial" w:hAnsi="Arial"/>
        <w:color w:val="6B6B6B"/>
        <w:sz w:val="15"/>
        <w:szCs w:val="15"/>
      </w:rPr>
      <w:t xml:space="preserve">2026 Open Championship Statistical Favorites Memo  ·  Data: DataGolf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50"/>
      </w:tabs>
    </w:pPr>
    <w:r>
      <w:rPr>
        <w:rFonts w:ascii="Arial" w:cs="Arial" w:eastAsia="Arial" w:hAnsi="Arial"/>
        <w:color w:val="6B6B6B"/>
        <w:sz w:val="16"/>
        <w:szCs w:val="16"/>
      </w:rPr>
      <w:t xml:space="preserve">Seymour Thomas  ·  USC Marshall School of Business</w:t>
    </w:r>
    <w:r>
      <w:rPr>
        <w:rFonts w:ascii="Arial" w:cs="Arial" w:eastAsia="Arial" w:hAnsi="Arial"/>
      </w:rPr>
      <w:t xml:space="preserve">	</w:t>
    </w:r>
    <w:r>
      <w:rPr>
        <w:rFonts w:ascii="Arial" w:cs="Arial" w:eastAsia="Arial" w:hAnsi="Arial"/>
        <w:color w:val="6B6B6B"/>
        <w:sz w:val="16"/>
        <w:szCs w:val="16"/>
      </w:rPr>
      <w:t xml:space="preserve">Page </w:t>
    </w:r>
    <w:r>
      <w:rPr>
        <w:rFonts w:ascii="Arial" w:cs="Arial" w:eastAsia="Arial" w:hAnsi="Arial"/>
        <w:color w:val="6B6B6B"/>
        <w:sz w:val="16"/>
        <w:szCs w:val="16"/>
      </w:rPr>
      <w:fldChar w:fldCharType="begin"/>
      <w:instrText xml:space="preserve">PAGE</w:instrText>
      <w:fldChar w:fldCharType="separate"/>
      <w:fldChar w:fldCharType="end"/>
    </w:r>
    <w:r>
      <w:rPr>
        <w:rFonts w:ascii="Arial" w:cs="Arial" w:eastAsia="Arial" w:hAnsi="Arial"/>
        <w:sz w:val="16"/>
        <w:szCs w:val="16"/>
      </w:rPr>
      <w:t xml:space="preserve">  </w:t>
    </w:r>
    <w:r>
      <w:drawing>
        <wp:inline distT="0" distB="0" distL="0" distR="0">
          <wp:extent cx="228600" cy="14287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28600" cy="142875"/>
                  </a:xfrm>
                  <a:prstGeom prst="rect">
                    <a:avLst/>
                  </a:prstGeom>
                </pic:spPr>
              </pic:pic>
            </a:graphicData>
          </a:graphic>
        </wp:inline>
      </w:drawing>
    </w:r>
  </w:p>
  <w:p>
    <w:pPr>
      <w:pBdr>
        <w:bottom w:val="single" w:color="E8B84B" w:sz="16"/>
      </w:pBdr>
      <w:spacing w:after="0" w:before="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cfbbfab0aea9346edfab334a35606697b74397eb.jpg"/><Relationship Id="rId10" Type="http://schemas.openxmlformats.org/officeDocument/2006/relationships/image" Target="media/72e02d3b025b8714dc326c80684035c3eb751d98.jpg"/><Relationship Id="rId11" Type="http://schemas.openxmlformats.org/officeDocument/2006/relationships/image" Target="media/53094d312bfeb2bc4bf8d92a815e2f334c7e7c26.jpg"/><Relationship Id="rId12" Type="http://schemas.openxmlformats.org/officeDocument/2006/relationships/image" Target="media/712ccf1d63eff07ded687b2f924d5d591a4c2314.jp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a68f6e2effbf574c982b31af1824e6b74e873a8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2026-07-21T02:22:57.213Z</dcterms:created>
  <dcterms:modified xsi:type="dcterms:W3CDTF">2026-07-21T02:22:57.227Z</dcterms:modified>
</cp:coreProperties>
</file>

<file path=docProps/custom.xml><?xml version="1.0" encoding="utf-8"?>
<Properties xmlns="http://schemas.openxmlformats.org/officeDocument/2006/custom-properties" xmlns:vt="http://schemas.openxmlformats.org/officeDocument/2006/docPropsVTypes"/>
</file>